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D583E" w14:textId="77777777" w:rsidR="005C5069" w:rsidRPr="003B466F" w:rsidRDefault="005E6590" w:rsidP="003B466F">
      <w:pPr>
        <w:jc w:val="center"/>
        <w:rPr>
          <w:rFonts w:ascii="Times New Roman" w:hAnsi="Times New Roman" w:cs="Times New Roman"/>
          <w:b/>
          <w:sz w:val="24"/>
          <w:szCs w:val="24"/>
        </w:rPr>
      </w:pPr>
      <w:r w:rsidRPr="003B466F">
        <w:rPr>
          <w:rFonts w:ascii="Times New Roman" w:hAnsi="Times New Roman" w:cs="Times New Roman"/>
          <w:b/>
          <w:sz w:val="24"/>
          <w:szCs w:val="24"/>
        </w:rPr>
        <w:t>FORMACIÓN INICIAL DEL PROFESORADO DE MATEMÁTICAS EN EDUCACIÓN SECUNDARIA. PROPUESTAS DE LA SOCIEDAD ESPAÑOLA DE INVESTIGACIÓN EN EDUCACIÓN MATEMÁTICA</w:t>
      </w:r>
    </w:p>
    <w:p w14:paraId="1A7EF434" w14:textId="7ADD840A" w:rsidR="005C5069" w:rsidRPr="003B466F" w:rsidRDefault="005E6590" w:rsidP="003B466F">
      <w:pPr>
        <w:jc w:val="center"/>
        <w:rPr>
          <w:rFonts w:ascii="Times New Roman" w:hAnsi="Times New Roman" w:cs="Times New Roman"/>
          <w:b/>
          <w:sz w:val="24"/>
          <w:szCs w:val="24"/>
        </w:rPr>
      </w:pPr>
      <w:r w:rsidRPr="003B466F">
        <w:rPr>
          <w:rFonts w:ascii="Times New Roman" w:hAnsi="Times New Roman" w:cs="Times New Roman"/>
          <w:b/>
          <w:sz w:val="24"/>
          <w:szCs w:val="24"/>
        </w:rPr>
        <w:t>SEIEM, octubre de 2024</w:t>
      </w:r>
      <w:r w:rsidR="00DE67B7">
        <w:rPr>
          <w:rStyle w:val="Refdenotaalpie"/>
          <w:rFonts w:ascii="Times New Roman" w:hAnsi="Times New Roman" w:cs="Times New Roman"/>
          <w:b/>
          <w:sz w:val="24"/>
          <w:szCs w:val="24"/>
        </w:rPr>
        <w:footnoteReference w:id="1"/>
      </w:r>
    </w:p>
    <w:p w14:paraId="1287C580" w14:textId="0626C0F7" w:rsidR="005C5069" w:rsidRDefault="005C5069" w:rsidP="003B466F">
      <w:pPr>
        <w:jc w:val="both"/>
        <w:rPr>
          <w:rFonts w:ascii="Times New Roman" w:hAnsi="Times New Roman" w:cs="Times New Roman"/>
          <w:i/>
          <w:sz w:val="24"/>
          <w:szCs w:val="24"/>
        </w:rPr>
      </w:pPr>
    </w:p>
    <w:p w14:paraId="7DB084BB" w14:textId="77777777" w:rsidR="005C5069" w:rsidRPr="003B466F" w:rsidRDefault="005E6590" w:rsidP="006E78F4">
      <w:pPr>
        <w:jc w:val="center"/>
        <w:rPr>
          <w:rFonts w:ascii="Times New Roman" w:hAnsi="Times New Roman" w:cs="Times New Roman"/>
          <w:b/>
          <w:sz w:val="24"/>
          <w:szCs w:val="24"/>
        </w:rPr>
      </w:pPr>
      <w:r w:rsidRPr="003B466F">
        <w:rPr>
          <w:rFonts w:ascii="Times New Roman" w:hAnsi="Times New Roman" w:cs="Times New Roman"/>
          <w:b/>
          <w:sz w:val="24"/>
          <w:szCs w:val="24"/>
        </w:rPr>
        <w:t>RESUMEN EJECUTIVO</w:t>
      </w:r>
    </w:p>
    <w:p w14:paraId="77E0F3D7"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El presente documento contiene un análisis de la situación en la que se encuentra actualmente la formación inicial del futuro profesorado de matemáticas en Educación Secundaria y Bachillerato, junto con una serie de propuestas planteadas en el marco del proceso de revisión de los planes de estudio de la formación inicial de docentes en España que está actualmente activo. </w:t>
      </w:r>
    </w:p>
    <w:p w14:paraId="0BF76D54"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El documento está estructurado en cinco apartados. En el primero de ellos, se describe la situación actual de la formación inicial del profesorado de secundaria en matemáticas, partiendo de la orden ECI/3858/2007 que regula el máster profesionalizante, realizando un análisis de la presencia de créditos ECTS para los diferentes módulos y áreas existentes en el máster en una muestra variada de universidades públicas españolas que ofertan la especialidad de matemáticas. En la segunda parte, aun teniendo presentes los avances en la formación inicial que supuso el paso de la formación del antiguo CAP (Certificado de Aptitud Pedagógica) al máster profesionalizante actual, se exponen una serie de necesidades detectadas que siguen existiendo en relación con la formación inicial del profesorado de matemáticas en secundaria. El tercer punto del documento presenta una breve panorámica internacional sobre cómo es esta formación inicial en diferentes países del mundo, donde a partir de los dos grandes modelos de formación existentes (concurrente y consecutivo) se ubica la situación de España y se plantean algunas alternativas que pueden complementar el sistema actual de formación inicial. En el punto cuarto, tras una revisión de investigaciones en educación matemática sobre el papel decisivo del docente en los procesos de enseñanza y aprendizaje de las matemáticas y sobre la formación del profesorado de matemáticas, se argumenta qué conocimientos y competencias profesionales tiene que desarrollar un profesor de matemáticas en su formación inicial para incorporarse con garantías a la profesión. Este apartado finaliza con el enunciado de siete competencias profesionales que se consideran imprescindibles para ejercer como profesor de matemáticas en educación secundaria. Tomando como base estas competencias profesionales, en el quinto y último punto se realiza una propuesta de concreción operativa de las competencias, redactando un conjunto de resultados de aprendizaje que recogen qué es lo que un futuro profesor de matemáticas en secundaria debe haber aprendido tras finalizar su formación inicial. </w:t>
      </w:r>
    </w:p>
    <w:p w14:paraId="2E29EA7C"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Es indudable que la introducción y estabilización del modelo actual de máster ha contribuido a mejorar la formación inicial con respecto al antiguo CAP (Certificado de </w:t>
      </w:r>
      <w:r w:rsidRPr="003B466F">
        <w:rPr>
          <w:rFonts w:ascii="Times New Roman" w:hAnsi="Times New Roman" w:cs="Times New Roman"/>
          <w:sz w:val="24"/>
          <w:szCs w:val="24"/>
        </w:rPr>
        <w:lastRenderedPageBreak/>
        <w:t xml:space="preserve">Aptitud Pedagógica), manteniéndose en España un modelo de formación de tipo consecutivo, en que el máster profesionalizante se estudia tras completar una titulación de grado, asociada a la adquisición del conocimiento disciplinar en la materia. La Orden ECI/3858/2007 regula este máster. En esta orden se enuncian, de forma general, las competencias que deben adquirirse en dicho máster. A partir de esta orden, cada universidad que oferta el máster ha concretado el enunciado de esas competencias, pero manteniéndose un enunciado independiente de las especialidades. Este hecho, como destacan Font (2011), Muñiz-Rodríguez et al. (2016) o Rodríguez-Muñiz et al. (2020) es una debilidad importante del Máster de Profesorado en Secundaria en nuestro país, pues dificulta el establecimiento de objetivos para la formación inicial del profesor de matemáticas y la evaluación de su cumplimiento a través del máster. </w:t>
      </w:r>
    </w:p>
    <w:p w14:paraId="19156F04"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La Orden ECI/3858/2007 fija también los tres módulos de que consta el máster: genérico, específico y práctico, y el número mínimo de créditos ECTS asignados a cada módulo. La orden ubica ya 52 de los 60 créditos ECTS del máster, lo que supone un porcentaje importante del total. No obstante, el desarrollo de un análisis de la distribución de créditos ECTS en una muestra territorialmente variada de 22 universidades públicas españolas que ofertan la especialidad de matemáticas muestra una ubicación muy variada de los 8 ECTS restantes. </w:t>
      </w:r>
    </w:p>
    <w:p w14:paraId="6650A95E"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Esta variedad nos sugiere la existencia de diferentes perfiles de máster en función del tipo de formación a la que se da más presencia: la formación de tipo general (psicosociopedagógico), la formación de tipo didáctico (y, en concreto, desde la didáctica de la matemática) o la formación de tipo práctico, vía la realización de las prácticas externas. Así, encontramos másteres en los que la formación genérica tiene una presencia mucho mayor al situarse los 8 ECTS en el módulo genérico (para un total de 20 de los 60 ECTS), como sucede en las universidades de Córdoba, Granada, Sevilla o Zaragoza. En otros casos, es la formación práctica la que se destaca con la ubicación de los 8 ECTS en las prácticas externas vinculadas a la especialidad. Un ejemplo es la Universidad de Castilla-La Mancha, en la que el módulo práctico ocupa 24 de los 60 ECTS, con un número de créditos de prácticas externas (18) que es casi el doble al de otras muchas universidades (10 créditos ECTS). Por último, hay másteres que ubican todos o gran parte de los 8 ECTS en el módulo específico.</w:t>
      </w:r>
    </w:p>
    <w:p w14:paraId="3F7E6ED7"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Sin embargo, dentro del módulo específico es necesario considerar la distinta naturaleza de las tres áreas que lo componen: Complementos para la Formación disciplinar en Matemáticas (más vinculada con la formación en la propia disciplina matemática), Aprendizaje y Enseñanza de las Matemáticas, e Innovación Docente e Iniciación a la Investigación Educativa en Matemáticas (más asociadas a una formación en didáctica de la matemática). El desglose de la distribución de créditos ECTS entre las tres áreas muestra variaciones muy relevantes en términos de las oportunidades de aprendizaje que promueve la especialidad del máster: </w:t>
      </w:r>
    </w:p>
    <w:p w14:paraId="706EF2F6" w14:textId="77777777" w:rsidR="005C5069" w:rsidRPr="003B466F" w:rsidRDefault="005E6590" w:rsidP="003B466F">
      <w:pPr>
        <w:numPr>
          <w:ilvl w:val="0"/>
          <w:numId w:val="1"/>
        </w:numPr>
        <w:jc w:val="both"/>
        <w:rPr>
          <w:rFonts w:ascii="Times New Roman" w:hAnsi="Times New Roman" w:cs="Times New Roman"/>
          <w:sz w:val="24"/>
          <w:szCs w:val="24"/>
        </w:rPr>
      </w:pPr>
      <w:r w:rsidRPr="003B466F">
        <w:rPr>
          <w:rFonts w:ascii="Times New Roman" w:hAnsi="Times New Roman" w:cs="Times New Roman"/>
          <w:sz w:val="24"/>
          <w:szCs w:val="24"/>
        </w:rPr>
        <w:t xml:space="preserve">En los másteres de las universidades como la Complutense de Madrid y la de Valladolid, los complementos disciplinares ocupan casi un cuarto de la carga total de créditos ECTS, lo que es poco congruente con el modelo consecutivo de formación adoptado en España. </w:t>
      </w:r>
    </w:p>
    <w:p w14:paraId="6B6BC4CB" w14:textId="77777777" w:rsidR="005C5069" w:rsidRPr="003B466F" w:rsidRDefault="005E6590" w:rsidP="003B466F">
      <w:pPr>
        <w:numPr>
          <w:ilvl w:val="0"/>
          <w:numId w:val="1"/>
        </w:numPr>
        <w:jc w:val="both"/>
        <w:rPr>
          <w:rFonts w:ascii="Times New Roman" w:hAnsi="Times New Roman" w:cs="Times New Roman"/>
          <w:sz w:val="24"/>
          <w:szCs w:val="24"/>
        </w:rPr>
      </w:pPr>
      <w:r w:rsidRPr="003B466F">
        <w:rPr>
          <w:rFonts w:ascii="Times New Roman" w:hAnsi="Times New Roman" w:cs="Times New Roman"/>
          <w:sz w:val="24"/>
          <w:szCs w:val="24"/>
        </w:rPr>
        <w:lastRenderedPageBreak/>
        <w:t xml:space="preserve">La carga de créditos ECTS del área de Aprendizaje y Enseñanza de las Matemáticas, muy vinculada con la didáctica de la matemática, es el doble en unas universidades (Valencia, 16 ECTS) frente a otras (Alcalá de Henares, 8 ECTS). </w:t>
      </w:r>
    </w:p>
    <w:p w14:paraId="2069A2A6" w14:textId="77777777" w:rsidR="005C5069" w:rsidRPr="003B466F" w:rsidRDefault="005E6590" w:rsidP="003B466F">
      <w:pPr>
        <w:numPr>
          <w:ilvl w:val="0"/>
          <w:numId w:val="1"/>
        </w:numPr>
        <w:jc w:val="both"/>
        <w:rPr>
          <w:rFonts w:ascii="Times New Roman" w:hAnsi="Times New Roman" w:cs="Times New Roman"/>
          <w:sz w:val="24"/>
          <w:szCs w:val="24"/>
        </w:rPr>
      </w:pPr>
      <w:r w:rsidRPr="003B466F">
        <w:rPr>
          <w:rFonts w:ascii="Times New Roman" w:hAnsi="Times New Roman" w:cs="Times New Roman"/>
          <w:sz w:val="24"/>
          <w:szCs w:val="24"/>
        </w:rPr>
        <w:t xml:space="preserve">En varias universidades, hay partes de la formación específica, sobre todo del área de Innovación Docente e Iniciación a la Investigación Educativa en Matemáticas, que son impartidas de forma global desde la pedagogía o la didáctica general, y no desde la didáctica específica, lo que también tiene efectos en las características de la formación didáctica recibida. </w:t>
      </w:r>
    </w:p>
    <w:p w14:paraId="0F917A5F"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Además de la influencia que tiene en la formación recibida el modo en que se distribuyen los créditos ECTS en cada universidad, tras 15 años de implantación de este máster profesionalizante es posible detectar algunas necesidades en relación con la formación inicial del docente de matemáticas en secundaria que es necesario abordar. </w:t>
      </w:r>
    </w:p>
    <w:p w14:paraId="5B104D9A"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Una de ellas está relacionada con el giro del currículo de matemáticas hacia una organización de marcado carácter competencial, a partir de publicaciones de referencia como los Principios y Estándares del NCTM (2003) o las derivadas de los estudios PISA (OCDE, 2004, 2023). Pensar en la actividad matemática del estudiante en términos de la presencia de procesos como la resolución de problema, el razonamiento y prueba, las conexiones y la comunicación y representación de objetos matemáticos, además de la presencia explícita de las destrezas socioafectivas en matemáticas, puede suponer un desafío importante para el futuro docente de matemáticas. Esto sucederá especialmente si tienen concepciones de qué son las matemáticas que se alejen de esta idea, lo que hace necesario hacer emerger y reflexionar sobre estas distintas concepciones durante la formación inicial.</w:t>
      </w:r>
    </w:p>
    <w:p w14:paraId="1B7DE48A"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Otra necesidad se deriva del destacado desarrollo de la Didáctica de la Matemática como área de conocimiento en estos últimos 40 a 50 años, con un gran volumen de investigación sobre la enseñanza y aprendizaje de los contenidos y procesos propios de las matemáticas en secundaria y bachillerato. Los resultados de investigación, y su transferencia al aula por medio de propuestas docentes, han de formar parte de la formación inicial del futuro docente de matemáticas en secundaria, lo que resulta insuficientemente abordado en la actualidad dada la carga de créditos que tienen las áreas más vinculadas con la Didáctica de la Matemática (mayoritariamente entre 15 y 18 ECTS). Además, en la actualidad resulta ya inaplazable que este conocimiento didáctico tenga presencia explícita en el temario de la prueba teórica de oposiciones en matemáticas, así como vincular la posibilidad de presentarte por una especialidad con haber cursado dicha especialidad en el Máster. </w:t>
      </w:r>
    </w:p>
    <w:p w14:paraId="47B54292"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Por otra parte, sigue siendo crucial la necesidad de conectar los conocimientos de tipo teórico desarrollados en el máster con la práctica de aula como profesor de matemáticas. Las asignaturas de Prácticum son la piedra angular para favorecer esa integración teórico-práctica, para lo cual sería fundamental apostar por la creación, consolidación y reconocimiento de comunidades de práctica, con docentes tutores de instituto, docentes tutores de universidad y estudiantes del máster, en las que se pueda promover el análisis y reflexión de lo sucedido en la práctica de aula, su vinculación con conocimientos y competencias profesionales abordadas en el máster y la transferencia al aula de propuestas docentes desarrolladas desde la Didáctica de la Matemática. </w:t>
      </w:r>
    </w:p>
    <w:p w14:paraId="0FC7BCF9"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lastRenderedPageBreak/>
        <w:t xml:space="preserve">Vinculado con las necesidades, pero también con la estructura de la formación inicial vigente para ser profesor de matemáticas en secundaria, la escasísima presencia en los grados en Matemáticas de alguna asignatura vinculada a un itinerario didáctico junto con la alta tasa de inserción laboral de los titulados en este grado están generando una escasez de docentes de matemáticas en secundaria, así como que el porcentaje de estudiantes de la especialidad del máster que provengan del grado en Matemáticas sea discreto. Esto último supone un problema cuando acceden estudiantes provenientes de grados con una carga de créditos en matemáticas reducida, pues el desarrollo de un conocimiento disciplinar sólido no puede ser un objetivo del propio máster en un modelo de formación consecutivo. Así, se hace necesario alimentar las vocaciones docentes y la visibilización de la orientación didáctica desde el propio grado. </w:t>
      </w:r>
    </w:p>
    <w:p w14:paraId="7CA95F71"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Pero, además, la panorámica internacional realizada sobre la formación inicial de profesores de matemáticas en secundaria ha puesto de manifiesto que no son pocos los países donde coexisten varios modelos de formación, lo que dota de un mayor número de vías de acceso a la profesión. En muchos países existe un modelo consecutivo, similar en estructura al actual en España, aunque en muchos casos con una mayor carga de créditos para el máster profesionalizante. En algunos de esos países, este modelo coexiste con otro concurrente, donde se combina en un mismo título toda la formación disciplinar, psicopedagógica, didáctica y práctica. Dada la escasez de profesorado de matemáticas en España y la altísima demanda actual del grado en Matemáticas, puede ser una idea interesante estudiar la creación de un grado (o grado más máster, como también sucede en otros países) en profesor de matemáticas en secundaria, donde en la formación se combinen la formación disciplinar en matemáticas (que puede ser equivalente a dos cursos o dos cursos y medio) con la formación general psicosociopedagógica, la formación específica en didáctica de la matemática y la formación práctica, para aprovechar también las potencialidades de vincular las diferentes partes de la formación en un mismo título. </w:t>
      </w:r>
    </w:p>
    <w:p w14:paraId="08BF5ABB"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Como indica Font (2011), “el desarrollo del pensamiento y de las competencias matemáticas de los alumnos depende, de manera esencial, de la formación de sus profesores”. ¿Qué conocimientos y competencias profesionales son necesarias para poder ejercer como profesor de matemáticas en secundaria? Esta pregunta ha sido ampliamente estudiada, con varias líneas de investigación a nivel nacional e internacional en Didáctica de la Matemática centradas en estudiar estos aspectos. La revisión de estas investigaciones proporciona algunas respuestas indicando qué tipos de conocimientos y qué competencias profesionales precisa un docente de matemáticas, llegándose a un cierto nivel de consenso. Por ejemplo, si hablamos del conocimiento que ha de tener un profesor de matemáticas, propuestas de modelos como los de Ball et al. (2008) o Carrillo et al. (2018), a partir de los trabajos seminales de Shulman (1986, 1987) distinguen dos grandes dominios de conocimiento: el conocimiento del contenido matemático y el conocimiento didáctico de ese contenido, entendiendo que en la labor docente se movilizarán de forma relacionada conocimientos de ambos dominios y destacando el carácter de especialización para la labor docente que ha de tener, también, el conocimiento matemático.</w:t>
      </w:r>
    </w:p>
    <w:p w14:paraId="300861F8"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La posesión de todos estos conocimientos no es suficiente, sino que hay que tener la capacidad para seleccionarlos y aplicarlos en la resolución de situaciones vinculadas con </w:t>
      </w:r>
      <w:r w:rsidRPr="003B466F">
        <w:rPr>
          <w:rFonts w:ascii="Times New Roman" w:hAnsi="Times New Roman" w:cs="Times New Roman"/>
          <w:sz w:val="24"/>
          <w:szCs w:val="24"/>
        </w:rPr>
        <w:lastRenderedPageBreak/>
        <w:t xml:space="preserve">la labor del docente de matemáticas en secundaria. Esa capacidad se vincula con las competencias profesionales docentes del profesorado de matemáticas. Por una parte, estas competencias han de desarrollarse en la formación inicial en un grado suficiente que habilite para el ejercicio de la profesión. Y, por otra parte, la reflexión sobre la propia práctica profesional y las situaciones acaecidas permitirán al docente aprender progresivamente a reflexionar sobre su práctica para mejorarla, como vía para su desarrollo profesional. A partir de la revisión de investigaciones a nivel nacional e internacional en educación matemática, y de documentos como los de Rico (2004), Recio (2004), Font (2011) o Godino et al. (2017), se proponen siete competencias profesionales en las que debe focalizarse la formación del futuro profesorado de matemáticas en educación secundaria: </w:t>
      </w:r>
    </w:p>
    <w:p w14:paraId="4CA33D1C" w14:textId="065218EE"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b/>
          <w:sz w:val="24"/>
          <w:szCs w:val="24"/>
        </w:rPr>
        <w:t xml:space="preserve">1) Competencia matemática especializada en el contexto de la enseñanza de las matemáticas. </w:t>
      </w:r>
      <w:r w:rsidRPr="003B466F">
        <w:rPr>
          <w:rFonts w:ascii="Times New Roman" w:hAnsi="Times New Roman" w:cs="Times New Roman"/>
          <w:sz w:val="24"/>
          <w:szCs w:val="24"/>
        </w:rPr>
        <w:t>Es decir, la competencia matemática incluye el dominio de los contenidos matemáticos, su trasposición didáctica y también su aplicación argumentada para la resolución de problemas, en contextos diversos, tanto en un contexto intra</w:t>
      </w:r>
      <w:r w:rsidR="006F530B">
        <w:rPr>
          <w:rFonts w:ascii="Times New Roman" w:hAnsi="Times New Roman" w:cs="Times New Roman"/>
          <w:sz w:val="24"/>
          <w:szCs w:val="24"/>
        </w:rPr>
        <w:t>-</w:t>
      </w:r>
      <w:r w:rsidRPr="003B466F">
        <w:rPr>
          <w:rFonts w:ascii="Times New Roman" w:hAnsi="Times New Roman" w:cs="Times New Roman"/>
          <w:sz w:val="24"/>
          <w:szCs w:val="24"/>
        </w:rPr>
        <w:t>matemático como extra</w:t>
      </w:r>
      <w:r w:rsidR="006F530B">
        <w:rPr>
          <w:rFonts w:ascii="Times New Roman" w:hAnsi="Times New Roman" w:cs="Times New Roman"/>
          <w:sz w:val="24"/>
          <w:szCs w:val="24"/>
        </w:rPr>
        <w:t>-</w:t>
      </w:r>
      <w:r w:rsidRPr="003B466F">
        <w:rPr>
          <w:rFonts w:ascii="Times New Roman" w:hAnsi="Times New Roman" w:cs="Times New Roman"/>
          <w:sz w:val="24"/>
          <w:szCs w:val="24"/>
        </w:rPr>
        <w:t xml:space="preserve">matemático. </w:t>
      </w:r>
    </w:p>
    <w:p w14:paraId="2D6C4918"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b/>
          <w:sz w:val="24"/>
          <w:szCs w:val="24"/>
        </w:rPr>
        <w:t xml:space="preserve">2) Competencia curricular o de planificación y diseño de secuencias didácticas en matemáticas. </w:t>
      </w:r>
      <w:r w:rsidRPr="003B466F">
        <w:rPr>
          <w:rFonts w:ascii="Times New Roman" w:hAnsi="Times New Roman" w:cs="Times New Roman"/>
          <w:sz w:val="24"/>
          <w:szCs w:val="24"/>
        </w:rPr>
        <w:t xml:space="preserve">Esta competencia se vincula con prever, planificar, diseñar y reformular secuencias de enseñanza y aprendizaje de las matemáticas en función de los aprendizajes o el desarrollo de competencias pretendido en el estudiantado y atendiendo a la diversidad de este. </w:t>
      </w:r>
    </w:p>
    <w:p w14:paraId="2E3CE31B"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b/>
          <w:sz w:val="24"/>
          <w:szCs w:val="24"/>
        </w:rPr>
        <w:t xml:space="preserve">3) Competencia de gestión e interpretación del trabajo matemático del estudiantado. </w:t>
      </w:r>
      <w:r w:rsidRPr="003B466F">
        <w:rPr>
          <w:rFonts w:ascii="Times New Roman" w:hAnsi="Times New Roman" w:cs="Times New Roman"/>
          <w:sz w:val="24"/>
          <w:szCs w:val="24"/>
        </w:rPr>
        <w:t xml:space="preserve">Esta competencia se vincula con el análisis y la interpretación del conocimiento o la competencia matemática puesta de manifiesto por los estudiantes a través de su actuación o de sus producciones, con el fin de decidir qué acciones plantear para mejorar el proceso de enseñanza-aprendizaje que está teniendo lugar. </w:t>
      </w:r>
    </w:p>
    <w:p w14:paraId="70E13DED"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b/>
          <w:sz w:val="24"/>
          <w:szCs w:val="24"/>
        </w:rPr>
        <w:t xml:space="preserve">4) Competencia de guía y gestión de la comunicación e interacciones en el aula de matemáticas. </w:t>
      </w:r>
      <w:r w:rsidRPr="003B466F">
        <w:rPr>
          <w:rFonts w:ascii="Times New Roman" w:hAnsi="Times New Roman" w:cs="Times New Roman"/>
          <w:sz w:val="24"/>
          <w:szCs w:val="24"/>
        </w:rPr>
        <w:t xml:space="preserve">Esta competencia se vincula con guiar y gestionar los procesos de interacción y comunicación matemática que tienen lugar en la implementación de secuencias didácticas para favorecer el aprendizaje matemático del estudiantado. </w:t>
      </w:r>
    </w:p>
    <w:p w14:paraId="0C119301"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b/>
          <w:sz w:val="24"/>
          <w:szCs w:val="24"/>
        </w:rPr>
        <w:t>5)</w:t>
      </w:r>
      <w:r w:rsidRPr="003B466F">
        <w:rPr>
          <w:rFonts w:ascii="Times New Roman" w:hAnsi="Times New Roman" w:cs="Times New Roman"/>
          <w:sz w:val="24"/>
          <w:szCs w:val="24"/>
        </w:rPr>
        <w:t xml:space="preserve"> </w:t>
      </w:r>
      <w:r w:rsidRPr="003B466F">
        <w:rPr>
          <w:rFonts w:ascii="Times New Roman" w:hAnsi="Times New Roman" w:cs="Times New Roman"/>
          <w:b/>
          <w:sz w:val="24"/>
          <w:szCs w:val="24"/>
        </w:rPr>
        <w:t xml:space="preserve">Competencia de evaluación de los aprendizajes matemáticos del estudiantado. </w:t>
      </w:r>
      <w:r w:rsidRPr="003B466F">
        <w:rPr>
          <w:rFonts w:ascii="Times New Roman" w:hAnsi="Times New Roman" w:cs="Times New Roman"/>
          <w:sz w:val="24"/>
          <w:szCs w:val="24"/>
        </w:rPr>
        <w:t xml:space="preserve">Esta competencia se vincula con ser capaz de generar y/o aplicar situaciones, técnicas o instrumentos de evaluación específicos vinculados con los criterios de evaluación curriculares, que permitan al docente obtener información sobre el aprendizaje o las competencias matemáticas desarrolladas por cada estudiante. </w:t>
      </w:r>
    </w:p>
    <w:p w14:paraId="1941420A" w14:textId="77777777" w:rsidR="005C5069" w:rsidRPr="003B466F" w:rsidRDefault="005E6590" w:rsidP="003B466F">
      <w:pPr>
        <w:jc w:val="both"/>
        <w:rPr>
          <w:rFonts w:ascii="Times New Roman" w:hAnsi="Times New Roman" w:cs="Times New Roman"/>
          <w:b/>
          <w:sz w:val="24"/>
          <w:szCs w:val="24"/>
        </w:rPr>
      </w:pPr>
      <w:r w:rsidRPr="003B466F">
        <w:rPr>
          <w:rFonts w:ascii="Times New Roman" w:hAnsi="Times New Roman" w:cs="Times New Roman"/>
          <w:b/>
          <w:sz w:val="24"/>
          <w:szCs w:val="24"/>
        </w:rPr>
        <w:t xml:space="preserve">6) Competencia digital en matemáticas. </w:t>
      </w:r>
      <w:r w:rsidRPr="003B466F">
        <w:rPr>
          <w:rFonts w:ascii="Times New Roman" w:hAnsi="Times New Roman" w:cs="Times New Roman"/>
          <w:sz w:val="24"/>
          <w:szCs w:val="24"/>
        </w:rPr>
        <w:t xml:space="preserve">Esta competencia se vincula con usar herramientas informáticas y recursos digitales para ser capaz de resolver tanto situaciones matemáticas como situaciones vinculadas con la enseñanza y aprendizaje de las matemáticas, así como reflexionar sobre su potencial para favorecer el aprendizaje de conceptos o el desarrollo de competencias específicas en matemáticas del estudiantado. </w:t>
      </w:r>
    </w:p>
    <w:p w14:paraId="778F47B4"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b/>
          <w:sz w:val="24"/>
          <w:szCs w:val="24"/>
        </w:rPr>
        <w:t xml:space="preserve">7) Competencia de actualización y desarrollo profesional como profesor de matemáticas. </w:t>
      </w:r>
      <w:r w:rsidRPr="003B466F">
        <w:rPr>
          <w:rFonts w:ascii="Times New Roman" w:hAnsi="Times New Roman" w:cs="Times New Roman"/>
          <w:sz w:val="24"/>
          <w:szCs w:val="24"/>
        </w:rPr>
        <w:t xml:space="preserve">Esta competencia se vincula con la capacidad de reflexionar y valorar de forma crítica la propia práctica, buscando su mejora y evolución, así como con entender </w:t>
      </w:r>
      <w:r w:rsidRPr="003B466F">
        <w:rPr>
          <w:rFonts w:ascii="Times New Roman" w:hAnsi="Times New Roman" w:cs="Times New Roman"/>
          <w:sz w:val="24"/>
          <w:szCs w:val="24"/>
        </w:rPr>
        <w:lastRenderedPageBreak/>
        <w:t xml:space="preserve">la necesidad de la actualización didáctica como docentes de matemáticas, a partir tanto de la formación continua como del análisis de innovaciones y propuestas derivadas de la investigación en Didáctica de la Matemática. </w:t>
      </w:r>
    </w:p>
    <w:p w14:paraId="4EBECEEF"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Para cada una de estas siete competencias profesionales del profesor de matemáticas, hemos enunciado entre seis y ocho resultados de aprendizaje que concretan cada una de las competencias, en términos de aquello que debería adquirir un futuro profesor de matemáticas durante su formación inicial para poder ejercer con garantías la profesión y que, por tanto, deberían ser resultados de aprendizaje que recogieran las diferentes asignaturas de la especialidad de matemáticas del Máster de Profesorado en Secundaria. Se enuncian un total de cincuenta resultados de aprendizaje donde, en todos los casos, debe tenerse presente el conocimiento de didáctica de la matemática subyacente necesario para poder alcanzar dichos resultados de aprendizaje. </w:t>
      </w:r>
    </w:p>
    <w:p w14:paraId="09157B1F" w14:textId="77777777" w:rsidR="005C5069" w:rsidRPr="003B466F" w:rsidRDefault="005C5069" w:rsidP="003B466F">
      <w:pPr>
        <w:jc w:val="both"/>
        <w:rPr>
          <w:rFonts w:ascii="Times New Roman" w:hAnsi="Times New Roman" w:cs="Times New Roman"/>
          <w:sz w:val="24"/>
          <w:szCs w:val="24"/>
          <w:shd w:val="clear" w:color="auto" w:fill="FFE599"/>
        </w:rPr>
      </w:pPr>
    </w:p>
    <w:p w14:paraId="18211501"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br w:type="page"/>
      </w:r>
    </w:p>
    <w:p w14:paraId="4F91E461" w14:textId="77777777" w:rsidR="000A1E75" w:rsidRPr="003B466F" w:rsidRDefault="000A1E75" w:rsidP="000A1E75">
      <w:pPr>
        <w:jc w:val="center"/>
        <w:rPr>
          <w:rFonts w:ascii="Times New Roman" w:hAnsi="Times New Roman" w:cs="Times New Roman"/>
          <w:b/>
          <w:sz w:val="24"/>
          <w:szCs w:val="24"/>
        </w:rPr>
      </w:pPr>
      <w:r w:rsidRPr="003B466F">
        <w:rPr>
          <w:rFonts w:ascii="Times New Roman" w:hAnsi="Times New Roman" w:cs="Times New Roman"/>
          <w:b/>
          <w:sz w:val="24"/>
          <w:szCs w:val="24"/>
        </w:rPr>
        <w:lastRenderedPageBreak/>
        <w:t>FORMACIÓN INICIAL DEL PROFESORADO DE MATEMÁTICAS EN EDUCACIÓN SECUNDARIA. PROPUESTAS DE LA SOCIEDAD ESPAÑOLA DE INVESTIGACIÓN EN EDUCACIÓN MATEMÁTICA</w:t>
      </w:r>
    </w:p>
    <w:p w14:paraId="2AF33BCD" w14:textId="77777777" w:rsidR="000A1E75" w:rsidRPr="003B466F" w:rsidRDefault="000A1E75" w:rsidP="000A1E75">
      <w:pPr>
        <w:jc w:val="center"/>
        <w:rPr>
          <w:rFonts w:ascii="Times New Roman" w:hAnsi="Times New Roman" w:cs="Times New Roman"/>
          <w:b/>
          <w:sz w:val="24"/>
          <w:szCs w:val="24"/>
        </w:rPr>
      </w:pPr>
      <w:r w:rsidRPr="003B466F">
        <w:rPr>
          <w:rFonts w:ascii="Times New Roman" w:hAnsi="Times New Roman" w:cs="Times New Roman"/>
          <w:b/>
          <w:sz w:val="24"/>
          <w:szCs w:val="24"/>
        </w:rPr>
        <w:t>SEIEM, octubre de 2024</w:t>
      </w:r>
      <w:r>
        <w:rPr>
          <w:rStyle w:val="Refdenotaalpie"/>
          <w:rFonts w:ascii="Times New Roman" w:hAnsi="Times New Roman" w:cs="Times New Roman"/>
          <w:b/>
          <w:sz w:val="24"/>
          <w:szCs w:val="24"/>
        </w:rPr>
        <w:footnoteReference w:id="2"/>
      </w:r>
    </w:p>
    <w:p w14:paraId="5049E3CA" w14:textId="77777777" w:rsidR="000A1E75" w:rsidRDefault="000A1E75" w:rsidP="000A1E75">
      <w:pPr>
        <w:jc w:val="both"/>
        <w:rPr>
          <w:rFonts w:ascii="Times New Roman" w:hAnsi="Times New Roman" w:cs="Times New Roman"/>
          <w:i/>
          <w:sz w:val="24"/>
          <w:szCs w:val="24"/>
        </w:rPr>
      </w:pPr>
    </w:p>
    <w:p w14:paraId="3DB49EB0" w14:textId="24CCFB78" w:rsidR="000A1E75" w:rsidRPr="003B466F" w:rsidRDefault="000A1E75" w:rsidP="000A1E75">
      <w:pPr>
        <w:jc w:val="center"/>
        <w:rPr>
          <w:rFonts w:ascii="Times New Roman" w:hAnsi="Times New Roman" w:cs="Times New Roman"/>
          <w:b/>
          <w:sz w:val="24"/>
          <w:szCs w:val="24"/>
        </w:rPr>
      </w:pPr>
      <w:r>
        <w:rPr>
          <w:rFonts w:ascii="Times New Roman" w:hAnsi="Times New Roman" w:cs="Times New Roman"/>
          <w:b/>
          <w:sz w:val="24"/>
          <w:szCs w:val="24"/>
        </w:rPr>
        <w:t>INFORME TÉCNICO</w:t>
      </w:r>
    </w:p>
    <w:p w14:paraId="602C5FEA" w14:textId="77777777" w:rsidR="005C5069" w:rsidRPr="003B466F" w:rsidRDefault="005E6590" w:rsidP="003B466F">
      <w:pPr>
        <w:jc w:val="both"/>
        <w:rPr>
          <w:rFonts w:ascii="Times New Roman" w:hAnsi="Times New Roman" w:cs="Times New Roman"/>
          <w:b/>
          <w:sz w:val="24"/>
          <w:szCs w:val="24"/>
        </w:rPr>
      </w:pPr>
      <w:r w:rsidRPr="003B466F">
        <w:rPr>
          <w:rFonts w:ascii="Times New Roman" w:hAnsi="Times New Roman" w:cs="Times New Roman"/>
          <w:b/>
          <w:sz w:val="24"/>
          <w:szCs w:val="24"/>
        </w:rPr>
        <w:t>1. Descripción de situación en programas actuales</w:t>
      </w:r>
    </w:p>
    <w:p w14:paraId="21687E2F"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En España, el máster profesionalizante para poder ejercer como profesor en los niveles de Secundaria y de Bachillerato está regulado por la Orden ECI/3858/2007, de 27 de diciembre, por la que se establecen los requisitos para la verificación de los títulos universitarios oficiales que habiliten para el ejercicio de las profesiones de Profesor de Educación Secundaria Obligatoria y Bachillerato, Formación Profesional y Enseñanzas de Idiomas. Entre otros aspectos, esta orden regula, a nivel nacional, las competencias que los estudiantes de este máster profesionalizante deben adquirir, los requisitos para acceder a este máster y la planificación de las enseñanzas. Se puede encontrar a continuación el enlace a dicha orden: </w:t>
      </w:r>
      <w:hyperlink r:id="rId9">
        <w:r w:rsidRPr="003B466F">
          <w:rPr>
            <w:rFonts w:ascii="Times New Roman" w:hAnsi="Times New Roman" w:cs="Times New Roman"/>
            <w:color w:val="0563C1"/>
            <w:sz w:val="24"/>
            <w:szCs w:val="24"/>
            <w:u w:val="single"/>
          </w:rPr>
          <w:t>https://www.boe.es/eli/es/o/2007/12/27/eci3858</w:t>
        </w:r>
      </w:hyperlink>
    </w:p>
    <w:p w14:paraId="40BD9350"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La Orden ECI/3858/2007 y su contenido engloba a todas las especialidades del máster, incluyendo la especialidad de matemáticas, lo que hace que en algunos casos, como en el enunciado de las competencias que deben adquirirse en dicho máster, ese enunciado tenga que ser general para ser extensible a todas las especialidades. De las 11 competencias que allí se recogen, puede considerarse que las cinco primeras son las más directamente relacionadas con el conocimiento y aplicación de contenidos de carácter tanto disciplinar como didáctico (Ministerio de Educación y Ciencia, 2007, p. 53751): </w:t>
      </w:r>
    </w:p>
    <w:p w14:paraId="43C92D6B" w14:textId="77777777" w:rsidR="005C5069" w:rsidRPr="000A1E75" w:rsidRDefault="005E6590" w:rsidP="003B466F">
      <w:pPr>
        <w:ind w:left="567"/>
        <w:jc w:val="both"/>
        <w:rPr>
          <w:rFonts w:ascii="Times New Roman" w:hAnsi="Times New Roman" w:cs="Times New Roman"/>
        </w:rPr>
      </w:pPr>
      <w:r w:rsidRPr="000A1E75">
        <w:rPr>
          <w:rFonts w:ascii="Times New Roman" w:hAnsi="Times New Roman" w:cs="Times New Roman"/>
        </w:rPr>
        <w:t>1. Conocer los contenidos curriculares de las materias relativas a la especialización docente correspondiente, así como el cuerpo de conocimientos didácticos en torno a los procesos de enseñanza y aprendizaje respectivos. Para la formación profesional se incluirá el conocimiento de las respectivas profesiones.</w:t>
      </w:r>
    </w:p>
    <w:p w14:paraId="17E0350B" w14:textId="77777777" w:rsidR="005C5069" w:rsidRPr="000A1E75" w:rsidRDefault="005E6590" w:rsidP="003B466F">
      <w:pPr>
        <w:ind w:left="567"/>
        <w:jc w:val="both"/>
        <w:rPr>
          <w:rFonts w:ascii="Times New Roman" w:hAnsi="Times New Roman" w:cs="Times New Roman"/>
        </w:rPr>
      </w:pPr>
      <w:r w:rsidRPr="000A1E75">
        <w:rPr>
          <w:rFonts w:ascii="Times New Roman" w:hAnsi="Times New Roman" w:cs="Times New Roman"/>
        </w:rPr>
        <w:t>2. Planificar, desarrollar y evaluar el proceso de enseñanza y aprendizaje potenciando procesos educativos que faciliten la adquisición de las competencias propias de las respectivas enseñanzas, atendiendo al nivel y formación previa de los estudiantes así como la orientación de los mismos, tanto individualmente como en colaboración con otros docentes y profesionales del centro.</w:t>
      </w:r>
    </w:p>
    <w:p w14:paraId="0F5FB24D" w14:textId="77777777" w:rsidR="005C5069" w:rsidRPr="000A1E75" w:rsidRDefault="005E6590" w:rsidP="003B466F">
      <w:pPr>
        <w:ind w:left="567"/>
        <w:jc w:val="both"/>
        <w:rPr>
          <w:rFonts w:ascii="Times New Roman" w:hAnsi="Times New Roman" w:cs="Times New Roman"/>
        </w:rPr>
      </w:pPr>
      <w:r w:rsidRPr="000A1E75">
        <w:rPr>
          <w:rFonts w:ascii="Times New Roman" w:hAnsi="Times New Roman" w:cs="Times New Roman"/>
        </w:rPr>
        <w:t>3. Buscar, obtener, procesar y comunicar información (oral, impresa, audiovisual, digital o multimedia), transformarla en conocimiento y aplicarla en los procesos de enseñanza y aprendizaje en las materias propias de la especialización cursada.</w:t>
      </w:r>
    </w:p>
    <w:p w14:paraId="6547FC80" w14:textId="77777777" w:rsidR="005C5069" w:rsidRPr="000A1E75" w:rsidRDefault="005E6590" w:rsidP="003B466F">
      <w:pPr>
        <w:ind w:left="567"/>
        <w:jc w:val="both"/>
        <w:rPr>
          <w:rFonts w:ascii="Times New Roman" w:hAnsi="Times New Roman" w:cs="Times New Roman"/>
        </w:rPr>
      </w:pPr>
      <w:r w:rsidRPr="000A1E75">
        <w:rPr>
          <w:rFonts w:ascii="Times New Roman" w:hAnsi="Times New Roman" w:cs="Times New Roman"/>
        </w:rPr>
        <w:lastRenderedPageBreak/>
        <w:t>4. Concretar el currículo que se vaya a implantar en un centro docente participando en la planificación colectiva del mismo; desarrollar y aplicar metodologías didácticas tanto grupales como personalizadas, adaptadas a la diversidad de los estudiantes.</w:t>
      </w:r>
    </w:p>
    <w:p w14:paraId="15AEB41D" w14:textId="77777777" w:rsidR="005C5069" w:rsidRPr="000A1E75" w:rsidRDefault="005E6590" w:rsidP="003B466F">
      <w:pPr>
        <w:ind w:left="567"/>
        <w:jc w:val="both"/>
        <w:rPr>
          <w:rFonts w:ascii="Times New Roman" w:hAnsi="Times New Roman" w:cs="Times New Roman"/>
        </w:rPr>
      </w:pPr>
      <w:r w:rsidRPr="000A1E75">
        <w:rPr>
          <w:rFonts w:ascii="Times New Roman" w:hAnsi="Times New Roman" w:cs="Times New Roman"/>
        </w:rPr>
        <w:t>5. Diseñar y desarrollar espacios de aprendizaje con especial atención a la equidad, la educación emocional y en valores, la igualdad de derechos y oportunidades entre hombres y mujeres, la formación ciudadana y el respeto de los derechos humanos que faciliten la vida en sociedad, la toma de decisiones y la construcción de un futuro sostenible.</w:t>
      </w:r>
    </w:p>
    <w:p w14:paraId="6A406871"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Estas competencias generales que establece la Orden ECI/3858/2007 son la base para que cada universidad, en su máster profesionalizante, establezca las competencias que se espera que un estudiante haya desarrollado al realizar la titulación. El enunciado de competencias elaborado por las universidades suele ser mucho más detallado y prolijo, para cada uno de los módulos del máster. Sin embargo, su enunciado sigue siendo general y, como destacan Font (2011), Muñiz-Rodríguez et al. (2016) o Rodríguez-Muñiz et al. (2020), no llegan a recogerse competencias específicas a adquirir en la especialidad de matemáticas. Como indican estos autores, este hecho supone una primera debilidad importante del Máster de Profesorado en Secundaria en nuestro país, puesto que la falta de existencia de unas competencias específicas por especialidad dificulta tanto el establecimiento de objetivos para la formación inicial del profesor de matemáticas a través de este máster como la evaluación de su cumplimiento. En el trabajo de Muñiz-Rodríguez et al. (2016, pp. 118-120) se pone de manifiesto que en otros países, como Reino Unido o Corea del Sur, sí que hay un enunciado de competencias y estándares de lo que se espera que un profesor de matemáticas pueda hacer una vez superada su formación inicial, lo que puede ayudar a generar y evaluar la calidad de estos programas de formación inicial como docente de matemáticas en Secundaria. Sin duda, el establecimiento de competencias específicas por especialidad sería un importante paso adelante para fortalecer las diferentes especialidades, y en concreto la especialidad de matemáticas, de estos programas de formación inicial. </w:t>
      </w:r>
    </w:p>
    <w:p w14:paraId="43F3A1D3"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Siguiendo con lo que establece la Orden ECI/3858/2007, otro asunto abordado en la orden, en su apartado 4.2, son las condiciones para que un estudiante pueda acceder al Máster de Profesorado de Secundaria. Estas condiciones vienen, en gran medida, influenciadas por el modelo de estructura para los programas de formación inicial de profesorado de secundaria que se ha adoptado en España. Como desarrollaremos posteriormente en la panorámica internacional, hay dos grandes modelos para estructurar estos programas de formación inicial (Arce et al., 2019; Muñiz-Rodríguez et al., 2016): </w:t>
      </w:r>
    </w:p>
    <w:p w14:paraId="7493EF45" w14:textId="77777777" w:rsidR="005C5069" w:rsidRPr="003B466F" w:rsidRDefault="005E6590" w:rsidP="003B466F">
      <w:pPr>
        <w:numPr>
          <w:ilvl w:val="0"/>
          <w:numId w:val="9"/>
        </w:numPr>
        <w:pBdr>
          <w:top w:val="nil"/>
          <w:left w:val="nil"/>
          <w:bottom w:val="nil"/>
          <w:right w:val="nil"/>
          <w:between w:val="nil"/>
        </w:pBdr>
        <w:jc w:val="both"/>
        <w:rPr>
          <w:rFonts w:ascii="Times New Roman" w:hAnsi="Times New Roman" w:cs="Times New Roman"/>
          <w:sz w:val="24"/>
          <w:szCs w:val="24"/>
        </w:rPr>
      </w:pPr>
      <w:r w:rsidRPr="003B466F">
        <w:rPr>
          <w:rFonts w:ascii="Times New Roman" w:hAnsi="Times New Roman" w:cs="Times New Roman"/>
          <w:color w:val="000000"/>
          <w:sz w:val="24"/>
          <w:szCs w:val="24"/>
        </w:rPr>
        <w:t xml:space="preserve">Modelo concurrente: Modelo en el que se engloba en un mismo programa o titulación la formación disciplinar con la formación de tipo psicosociopedagógico, didáctico y práctico. </w:t>
      </w:r>
    </w:p>
    <w:p w14:paraId="6A4F1F2D" w14:textId="77777777" w:rsidR="005C5069" w:rsidRPr="003B466F" w:rsidRDefault="005E6590" w:rsidP="003B466F">
      <w:pPr>
        <w:numPr>
          <w:ilvl w:val="0"/>
          <w:numId w:val="9"/>
        </w:numPr>
        <w:pBdr>
          <w:top w:val="nil"/>
          <w:left w:val="nil"/>
          <w:bottom w:val="nil"/>
          <w:right w:val="nil"/>
          <w:between w:val="nil"/>
        </w:pBdr>
        <w:jc w:val="both"/>
        <w:rPr>
          <w:rFonts w:ascii="Times New Roman" w:hAnsi="Times New Roman" w:cs="Times New Roman"/>
          <w:sz w:val="24"/>
          <w:szCs w:val="24"/>
        </w:rPr>
      </w:pPr>
      <w:r w:rsidRPr="003B466F">
        <w:rPr>
          <w:rFonts w:ascii="Times New Roman" w:hAnsi="Times New Roman" w:cs="Times New Roman"/>
          <w:color w:val="000000"/>
          <w:sz w:val="24"/>
          <w:szCs w:val="24"/>
        </w:rPr>
        <w:t>Modelo consecutivo: Modelo en el que, tras la obtención de un título universitario que acredita la formación disciplinar en una disciplina concreta, se ha de obtener otro título centrado fundamentalmente en los otros tres tipos de formación (psicosociopedagógic</w:t>
      </w:r>
      <w:r w:rsidRPr="003B466F">
        <w:rPr>
          <w:rFonts w:ascii="Times New Roman" w:hAnsi="Times New Roman" w:cs="Times New Roman"/>
          <w:sz w:val="24"/>
          <w:szCs w:val="24"/>
        </w:rPr>
        <w:t>a</w:t>
      </w:r>
      <w:r w:rsidRPr="003B466F">
        <w:rPr>
          <w:rFonts w:ascii="Times New Roman" w:hAnsi="Times New Roman" w:cs="Times New Roman"/>
          <w:color w:val="000000"/>
          <w:sz w:val="24"/>
          <w:szCs w:val="24"/>
        </w:rPr>
        <w:t>, didáctic</w:t>
      </w:r>
      <w:r w:rsidRPr="003B466F">
        <w:rPr>
          <w:rFonts w:ascii="Times New Roman" w:hAnsi="Times New Roman" w:cs="Times New Roman"/>
          <w:sz w:val="24"/>
          <w:szCs w:val="24"/>
        </w:rPr>
        <w:t>a</w:t>
      </w:r>
      <w:r w:rsidRPr="003B466F">
        <w:rPr>
          <w:rFonts w:ascii="Times New Roman" w:hAnsi="Times New Roman" w:cs="Times New Roman"/>
          <w:color w:val="000000"/>
          <w:sz w:val="24"/>
          <w:szCs w:val="24"/>
        </w:rPr>
        <w:t xml:space="preserve"> y práctic</w:t>
      </w:r>
      <w:r w:rsidRPr="003B466F">
        <w:rPr>
          <w:rFonts w:ascii="Times New Roman" w:hAnsi="Times New Roman" w:cs="Times New Roman"/>
          <w:sz w:val="24"/>
          <w:szCs w:val="24"/>
        </w:rPr>
        <w:t>a</w:t>
      </w:r>
      <w:r w:rsidRPr="003B466F">
        <w:rPr>
          <w:rFonts w:ascii="Times New Roman" w:hAnsi="Times New Roman" w:cs="Times New Roman"/>
          <w:color w:val="000000"/>
          <w:sz w:val="24"/>
          <w:szCs w:val="24"/>
        </w:rPr>
        <w:t xml:space="preserve">). </w:t>
      </w:r>
    </w:p>
    <w:p w14:paraId="786BFDF3"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En el caso de España encontramos, en la actualidad, los dos tipos de modelos según la etapa educativa a la que se dirija la formación. En el caso de la formación inicial para ser docente de educación infantil o primaria, esta formación adopta un modelo concurrente, </w:t>
      </w:r>
      <w:r w:rsidRPr="003B466F">
        <w:rPr>
          <w:rFonts w:ascii="Times New Roman" w:hAnsi="Times New Roman" w:cs="Times New Roman"/>
          <w:sz w:val="24"/>
          <w:szCs w:val="24"/>
        </w:rPr>
        <w:lastRenderedPageBreak/>
        <w:t xml:space="preserve">toda la formación inicial en un mismo título de grado. Mientras, para el profesorado de enseñanza secundaria o bachillerato, el modelo de formación es consecutivo, y este máster se sitúa como el programa para proporcionar, sobre todo, formación de tipo psicosociopedagógico, de la didáctica específica y práctico, tras haber estudiado un grado universitario. </w:t>
      </w:r>
    </w:p>
    <w:p w14:paraId="61FA561A"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Esta estructura hace que la Orden ECI/3858/2007 establezca como requisito de acceso “la acreditación del dominio de las competencias relativas a la especialización que se desee cursar” (Ministerio de Educación y Ciencia, 2007, p. 53752), es decir, la adquisición en un grado suficiente de las competencias vinculadas al dominio de la disciplina en la que uno se quiere especializar. En este sentido, esta orden también indica que esa acreditación se realizará por dos vías: </w:t>
      </w:r>
    </w:p>
    <w:p w14:paraId="5BC602FA" w14:textId="77777777" w:rsidR="005C5069" w:rsidRPr="003B466F" w:rsidRDefault="005E6590" w:rsidP="003B466F">
      <w:pPr>
        <w:numPr>
          <w:ilvl w:val="0"/>
          <w:numId w:val="10"/>
        </w:numPr>
        <w:pBdr>
          <w:top w:val="nil"/>
          <w:left w:val="nil"/>
          <w:bottom w:val="nil"/>
          <w:right w:val="nil"/>
          <w:between w:val="nil"/>
        </w:pBdr>
        <w:jc w:val="both"/>
        <w:rPr>
          <w:rFonts w:ascii="Times New Roman" w:hAnsi="Times New Roman" w:cs="Times New Roman"/>
          <w:sz w:val="24"/>
          <w:szCs w:val="24"/>
        </w:rPr>
      </w:pPr>
      <w:r w:rsidRPr="003B466F">
        <w:rPr>
          <w:rFonts w:ascii="Times New Roman" w:hAnsi="Times New Roman" w:cs="Times New Roman"/>
          <w:color w:val="000000"/>
          <w:sz w:val="24"/>
          <w:szCs w:val="24"/>
        </w:rPr>
        <w:t xml:space="preserve">Hay grados universitarios que darán acceso directo a alguna o algunas especialidades, según determine cada universidad. </w:t>
      </w:r>
    </w:p>
    <w:p w14:paraId="566D215D" w14:textId="77777777" w:rsidR="005C5069" w:rsidRPr="003B466F" w:rsidRDefault="005E6590" w:rsidP="003B466F">
      <w:pPr>
        <w:numPr>
          <w:ilvl w:val="0"/>
          <w:numId w:val="10"/>
        </w:numPr>
        <w:pBdr>
          <w:top w:val="nil"/>
          <w:left w:val="nil"/>
          <w:bottom w:val="nil"/>
          <w:right w:val="nil"/>
          <w:between w:val="nil"/>
        </w:pBdr>
        <w:jc w:val="both"/>
        <w:rPr>
          <w:rFonts w:ascii="Times New Roman" w:hAnsi="Times New Roman" w:cs="Times New Roman"/>
          <w:sz w:val="24"/>
          <w:szCs w:val="24"/>
        </w:rPr>
      </w:pPr>
      <w:r w:rsidRPr="003B466F">
        <w:rPr>
          <w:rFonts w:ascii="Times New Roman" w:hAnsi="Times New Roman" w:cs="Times New Roman"/>
          <w:color w:val="000000"/>
          <w:sz w:val="24"/>
          <w:szCs w:val="24"/>
        </w:rPr>
        <w:t xml:space="preserve">En caso de que el grado cursado no dé acceso directo a la especialidad, cada universidad diseñará y convocará una prueba de acceso a través de la cual se pueda acreditar un nivel de competencia suficiente en la disciplina asociada a la especialidad. </w:t>
      </w:r>
    </w:p>
    <w:p w14:paraId="33A5BFE2"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El otro requisito de acceso obligatorio que marca la Orden ECI/3858/2007, con independencia de la especialidad, es acreditar el dominio de una lengua extranjera al menos en un nivel B1, teniendo en cuenta el Marco Común Europeo de Referencia para las Lenguas. </w:t>
      </w:r>
    </w:p>
    <w:p w14:paraId="78BF056F" w14:textId="2CE2240D"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Así, en particular para la especialidad de matemáticas, cada universidad que oferte esta especialidad decide cuáles son los grados universitarios que dan acceso directo a la misma, sin necesidad de pasar por la prueba de acceso, o cuál es el número de créditos ECTS relacionados con contenidos matemáticos que ha de tener al menos la titulación para otorgar ese acceso directo. En este sentido, y como encontraron Muñiz-Rodríguez et al. (2016), existe una alta heterogeneidad entre universidades sobre qué titulaciones o qué carga de créditos en matemáticas proporcionan este acceso directo. A este hecho se une el problema, destacado por Rodríguez-Muñiz et al. (2020), que puede generar la igualdad de acceso al Máster de Profesorado de Secundaria de quien haya estudiado una titulación de matemáticas y de quien haya estudiado otra titulación que dé acceso directo o que permita superar el número mínimo de créditos ECTS necesarios para ser admitido. En estos últimos años, y a la vista de que esta igualdad de acceso puede estar dejando fuera a titulados en matemáticas interesados en cursar esta especialidad del Máster, algunas universidades han generado mecanismos de priorización en función de la afinidad o carga matemática de la titulación (por ejemplo, en las universidades de Valencia o Alicante) o algún mecanismo de corrección o ponderación de la media del expediente académico en función de la carga de contenidos matemáticos de la titulación en créditos ECTS (por ejemplo, la Universidad Autónoma de Madrid).</w:t>
      </w:r>
    </w:p>
    <w:p w14:paraId="53406657"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Como muestran Muñiz-Rodríguez et al. (2016), hay un consenso bastante alto en el acceso directo a través de titulaciones de matemáticas, estadística, ciencias físicas o gran parte de las ingenierías. Mucha más variabilidad entre universidades puede encontrarse para otras titulaciones con menor carga matemática, sobre todo si nos fijamos en el </w:t>
      </w:r>
      <w:r w:rsidRPr="003B466F">
        <w:rPr>
          <w:rFonts w:ascii="Times New Roman" w:hAnsi="Times New Roman" w:cs="Times New Roman"/>
          <w:sz w:val="24"/>
          <w:szCs w:val="24"/>
        </w:rPr>
        <w:lastRenderedPageBreak/>
        <w:t xml:space="preserve">número mínimo de créditos ECTS en contenidos matemáticos que se establece (que en algunos casos baja hasta los 18 créditos ECTS). Ejemplos de esa variabilidad, destacados por Muñiz-Rodríguez et al. (2016), son el acceso directo o no a través de titulaciones vinculadas con la informática (con mayor porcentaje de acceso en las universidades públicas que en las privadas), con ciencias sociales como las finanzas, economía o administración de empresas, o con ciencias de la salud (estas últimas con acceso directo en algunas universidades privadas). </w:t>
      </w:r>
    </w:p>
    <w:p w14:paraId="68A2EA8D"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Arce et al. (2019) y Rodríguez-Muñiz et al. (2020) destacan la problemática de admitir directamente a estudiantes provenientes de titulaciones con baja carga en matemáticas, puesto que el modelo consecutivo de formación hace que el momento de desarrollar un conocimiento y competencia vinculados con las matemáticas deba ser el propio grado y no este máster, donde el número de créditos hace inviable esta opción. La presencia de estudiantes con un bajo conocimiento y competencia matemática puede suponer una limitación importante para un adecuado desarrollo del conocimiento y competencia didácticos en la especialidad. No obstante, como indican también Arce et al. (2019), es pertinente también reflexionar sobre hasta qué punto el conocimiento avanzado en matemáticas que proporcionan titulaciones con alta carga en matemáticas asegura un conocimiento profundo de la matemática propia de la Educación Secundaria (englobando aspectos como las diferentes concepciones o caracterizaciones de un concepto, sus aplicaciones, sus diferentes representaciones…) </w:t>
      </w:r>
    </w:p>
    <w:p w14:paraId="4D0CFFFC"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Continuando con la Orden ECI/3858/2007, en su apartado 5 se fija la estructura que ha de tener el máster de Profesorado en Secundaria. El máster consta actualmente de 60 créditos ECTS, el equivalente a un curso académico completo, y está centrado en proporcionar oportunidades para la formación y el desarrollo y adquisición en un grado suficiente de las competencias de tipo psicosociopedagógico, didáctico y práctico. Estos tres tipos de formación se ven reflejados en los tres módulos que, como mínimo, marca la orden para estructurar el máster en cada especialidad: el módulo genérico (vinculado con la formación psicosociopedagógica), el módulo específico (vinculado con la formación en la didáctica de la especialidad, aunque se incluye un complemento en la formación disciplinar) y el módulo práctico (vinculado con la formación práctica). Esta orden también marca el número mínimo de créditos ECTS y las áreas en que se divide cada uno de los tres módulos, información que recogemos en la siguiente tabla: </w:t>
      </w:r>
    </w:p>
    <w:p w14:paraId="06C53B72"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Tabla 1. Número mínimo de créditos ECTS y áreas en cada módulo del Máster (Fuente: Ministerio de Ciencia e Innovación, 2007, p. 53753)</w:t>
      </w:r>
    </w:p>
    <w:tbl>
      <w:tblPr>
        <w:tblStyle w:val="a"/>
        <w:tblW w:w="83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0"/>
        <w:gridCol w:w="1626"/>
        <w:gridCol w:w="5103"/>
      </w:tblGrid>
      <w:tr w:rsidR="005C5069" w:rsidRPr="00561486" w14:paraId="54AE2E2B" w14:textId="77777777" w:rsidTr="00561486">
        <w:trPr>
          <w:jc w:val="center"/>
        </w:trPr>
        <w:tc>
          <w:tcPr>
            <w:tcW w:w="1630" w:type="dxa"/>
            <w:shd w:val="clear" w:color="auto" w:fill="auto"/>
            <w:vAlign w:val="center"/>
          </w:tcPr>
          <w:p w14:paraId="5786302C" w14:textId="77777777" w:rsidR="005C5069" w:rsidRPr="00561486" w:rsidRDefault="005E6590" w:rsidP="00561486">
            <w:pPr>
              <w:pBdr>
                <w:top w:val="nil"/>
                <w:left w:val="nil"/>
                <w:bottom w:val="nil"/>
                <w:right w:val="nil"/>
                <w:between w:val="nil"/>
              </w:pBdr>
              <w:jc w:val="center"/>
              <w:rPr>
                <w:rFonts w:ascii="Times New Roman" w:hAnsi="Times New Roman" w:cs="Times New Roman"/>
                <w:i/>
                <w:color w:val="000000"/>
              </w:rPr>
            </w:pPr>
            <w:r w:rsidRPr="00561486">
              <w:rPr>
                <w:rFonts w:ascii="Times New Roman" w:hAnsi="Times New Roman" w:cs="Times New Roman"/>
                <w:i/>
                <w:color w:val="000000"/>
              </w:rPr>
              <w:t>Módulos</w:t>
            </w:r>
          </w:p>
        </w:tc>
        <w:tc>
          <w:tcPr>
            <w:tcW w:w="1626" w:type="dxa"/>
            <w:shd w:val="clear" w:color="auto" w:fill="auto"/>
            <w:vAlign w:val="center"/>
          </w:tcPr>
          <w:p w14:paraId="51F2E4D2" w14:textId="77777777" w:rsidR="005C5069" w:rsidRPr="00561486" w:rsidRDefault="005E6590" w:rsidP="00561486">
            <w:pPr>
              <w:pBdr>
                <w:top w:val="nil"/>
                <w:left w:val="nil"/>
                <w:bottom w:val="nil"/>
                <w:right w:val="nil"/>
                <w:between w:val="nil"/>
              </w:pBdr>
              <w:jc w:val="center"/>
              <w:rPr>
                <w:rFonts w:ascii="Times New Roman" w:hAnsi="Times New Roman" w:cs="Times New Roman"/>
                <w:i/>
                <w:color w:val="000000"/>
              </w:rPr>
            </w:pPr>
            <w:r w:rsidRPr="00561486">
              <w:rPr>
                <w:rFonts w:ascii="Times New Roman" w:hAnsi="Times New Roman" w:cs="Times New Roman"/>
                <w:i/>
                <w:color w:val="000000"/>
              </w:rPr>
              <w:t>N.º mínimo de créditos ECTS</w:t>
            </w:r>
          </w:p>
        </w:tc>
        <w:tc>
          <w:tcPr>
            <w:tcW w:w="5103" w:type="dxa"/>
            <w:shd w:val="clear" w:color="auto" w:fill="auto"/>
            <w:vAlign w:val="center"/>
          </w:tcPr>
          <w:p w14:paraId="6E412826" w14:textId="77777777" w:rsidR="005C5069" w:rsidRPr="00561486" w:rsidRDefault="005E6590" w:rsidP="00561486">
            <w:pPr>
              <w:pBdr>
                <w:top w:val="nil"/>
                <w:left w:val="nil"/>
                <w:bottom w:val="nil"/>
                <w:right w:val="nil"/>
                <w:between w:val="nil"/>
              </w:pBdr>
              <w:jc w:val="center"/>
              <w:rPr>
                <w:rFonts w:ascii="Times New Roman" w:hAnsi="Times New Roman" w:cs="Times New Roman"/>
                <w:i/>
                <w:color w:val="000000"/>
              </w:rPr>
            </w:pPr>
            <w:r w:rsidRPr="00561486">
              <w:rPr>
                <w:rFonts w:ascii="Times New Roman" w:hAnsi="Times New Roman" w:cs="Times New Roman"/>
                <w:i/>
                <w:color w:val="000000"/>
              </w:rPr>
              <w:t>Áreas</w:t>
            </w:r>
          </w:p>
        </w:tc>
      </w:tr>
      <w:tr w:rsidR="005C5069" w:rsidRPr="00561486" w14:paraId="0C99FCF2" w14:textId="77777777" w:rsidTr="00561486">
        <w:trPr>
          <w:jc w:val="center"/>
        </w:trPr>
        <w:tc>
          <w:tcPr>
            <w:tcW w:w="1630" w:type="dxa"/>
            <w:shd w:val="clear" w:color="auto" w:fill="auto"/>
            <w:vAlign w:val="center"/>
          </w:tcPr>
          <w:p w14:paraId="392E04E8" w14:textId="77777777" w:rsidR="005C5069" w:rsidRPr="00561486" w:rsidRDefault="005E6590" w:rsidP="00561486">
            <w:pPr>
              <w:pBdr>
                <w:top w:val="nil"/>
                <w:left w:val="nil"/>
                <w:bottom w:val="nil"/>
                <w:right w:val="nil"/>
                <w:between w:val="nil"/>
              </w:pBdr>
              <w:rPr>
                <w:rFonts w:ascii="Times New Roman" w:hAnsi="Times New Roman" w:cs="Times New Roman"/>
                <w:color w:val="000000"/>
              </w:rPr>
            </w:pPr>
            <w:r w:rsidRPr="00561486">
              <w:rPr>
                <w:rFonts w:ascii="Times New Roman" w:hAnsi="Times New Roman" w:cs="Times New Roman"/>
                <w:color w:val="000000"/>
              </w:rPr>
              <w:t>Genérico</w:t>
            </w:r>
          </w:p>
        </w:tc>
        <w:tc>
          <w:tcPr>
            <w:tcW w:w="1626" w:type="dxa"/>
            <w:shd w:val="clear" w:color="auto" w:fill="auto"/>
            <w:vAlign w:val="center"/>
          </w:tcPr>
          <w:p w14:paraId="357F1797" w14:textId="77777777" w:rsidR="005C5069" w:rsidRPr="00561486" w:rsidRDefault="005E6590" w:rsidP="00561486">
            <w:pPr>
              <w:pBdr>
                <w:top w:val="nil"/>
                <w:left w:val="nil"/>
                <w:bottom w:val="nil"/>
                <w:right w:val="nil"/>
                <w:between w:val="nil"/>
              </w:pBdr>
              <w:jc w:val="center"/>
              <w:rPr>
                <w:rFonts w:ascii="Times New Roman" w:hAnsi="Times New Roman" w:cs="Times New Roman"/>
                <w:color w:val="000000"/>
              </w:rPr>
            </w:pPr>
            <w:r w:rsidRPr="00561486">
              <w:rPr>
                <w:rFonts w:ascii="Times New Roman" w:hAnsi="Times New Roman" w:cs="Times New Roman"/>
                <w:color w:val="000000"/>
              </w:rPr>
              <w:t>12 créditos ECTS</w:t>
            </w:r>
          </w:p>
        </w:tc>
        <w:tc>
          <w:tcPr>
            <w:tcW w:w="5103" w:type="dxa"/>
            <w:shd w:val="clear" w:color="auto" w:fill="auto"/>
            <w:vAlign w:val="center"/>
          </w:tcPr>
          <w:p w14:paraId="67B8D77E" w14:textId="77777777" w:rsidR="005C5069" w:rsidRPr="00561486" w:rsidRDefault="005E6590" w:rsidP="00561486">
            <w:pPr>
              <w:pBdr>
                <w:top w:val="nil"/>
                <w:left w:val="nil"/>
                <w:bottom w:val="nil"/>
                <w:right w:val="nil"/>
                <w:between w:val="nil"/>
              </w:pBdr>
              <w:spacing w:after="80"/>
              <w:rPr>
                <w:rFonts w:ascii="Times New Roman" w:hAnsi="Times New Roman" w:cs="Times New Roman"/>
                <w:color w:val="000000"/>
              </w:rPr>
            </w:pPr>
            <w:r w:rsidRPr="00561486">
              <w:rPr>
                <w:rFonts w:ascii="Times New Roman" w:hAnsi="Times New Roman" w:cs="Times New Roman"/>
                <w:color w:val="000000"/>
              </w:rPr>
              <w:t>Aprendizaje y desarrollo de la personalidad</w:t>
            </w:r>
          </w:p>
          <w:p w14:paraId="392FDC3C" w14:textId="77777777" w:rsidR="005C5069" w:rsidRPr="00561486" w:rsidRDefault="005E6590" w:rsidP="00561486">
            <w:pPr>
              <w:pBdr>
                <w:top w:val="nil"/>
                <w:left w:val="nil"/>
                <w:bottom w:val="nil"/>
                <w:right w:val="nil"/>
                <w:between w:val="nil"/>
              </w:pBdr>
              <w:spacing w:after="80"/>
              <w:rPr>
                <w:rFonts w:ascii="Times New Roman" w:hAnsi="Times New Roman" w:cs="Times New Roman"/>
                <w:color w:val="000000"/>
              </w:rPr>
            </w:pPr>
            <w:r w:rsidRPr="00561486">
              <w:rPr>
                <w:rFonts w:ascii="Times New Roman" w:hAnsi="Times New Roman" w:cs="Times New Roman"/>
                <w:color w:val="000000"/>
              </w:rPr>
              <w:t>Procesos y contextos educativos</w:t>
            </w:r>
          </w:p>
          <w:p w14:paraId="7C20AD01" w14:textId="77777777" w:rsidR="005C5069" w:rsidRPr="00561486" w:rsidRDefault="005E6590" w:rsidP="00561486">
            <w:pPr>
              <w:pBdr>
                <w:top w:val="nil"/>
                <w:left w:val="nil"/>
                <w:bottom w:val="nil"/>
                <w:right w:val="nil"/>
                <w:between w:val="nil"/>
              </w:pBdr>
              <w:spacing w:after="80"/>
              <w:rPr>
                <w:rFonts w:ascii="Times New Roman" w:hAnsi="Times New Roman" w:cs="Times New Roman"/>
                <w:color w:val="000000"/>
              </w:rPr>
            </w:pPr>
            <w:r w:rsidRPr="00561486">
              <w:rPr>
                <w:rFonts w:ascii="Times New Roman" w:hAnsi="Times New Roman" w:cs="Times New Roman"/>
                <w:color w:val="000000"/>
              </w:rPr>
              <w:t>Sociedad, familia y educación</w:t>
            </w:r>
          </w:p>
        </w:tc>
      </w:tr>
      <w:tr w:rsidR="005C5069" w:rsidRPr="00561486" w14:paraId="05018801" w14:textId="77777777" w:rsidTr="00561486">
        <w:trPr>
          <w:jc w:val="center"/>
        </w:trPr>
        <w:tc>
          <w:tcPr>
            <w:tcW w:w="1630" w:type="dxa"/>
            <w:shd w:val="clear" w:color="auto" w:fill="auto"/>
            <w:vAlign w:val="center"/>
          </w:tcPr>
          <w:p w14:paraId="0A8993E1" w14:textId="77777777" w:rsidR="005C5069" w:rsidRPr="00561486" w:rsidRDefault="005E6590" w:rsidP="00561486">
            <w:pPr>
              <w:pBdr>
                <w:top w:val="nil"/>
                <w:left w:val="nil"/>
                <w:bottom w:val="nil"/>
                <w:right w:val="nil"/>
                <w:between w:val="nil"/>
              </w:pBdr>
              <w:rPr>
                <w:rFonts w:ascii="Times New Roman" w:hAnsi="Times New Roman" w:cs="Times New Roman"/>
                <w:color w:val="000000"/>
              </w:rPr>
            </w:pPr>
            <w:r w:rsidRPr="00561486">
              <w:rPr>
                <w:rFonts w:ascii="Times New Roman" w:hAnsi="Times New Roman" w:cs="Times New Roman"/>
                <w:color w:val="000000"/>
              </w:rPr>
              <w:t>Específico</w:t>
            </w:r>
          </w:p>
        </w:tc>
        <w:tc>
          <w:tcPr>
            <w:tcW w:w="1626" w:type="dxa"/>
            <w:shd w:val="clear" w:color="auto" w:fill="auto"/>
            <w:vAlign w:val="center"/>
          </w:tcPr>
          <w:p w14:paraId="5AFAC88C" w14:textId="77777777" w:rsidR="005C5069" w:rsidRPr="00561486" w:rsidRDefault="005E6590" w:rsidP="00561486">
            <w:pPr>
              <w:pBdr>
                <w:top w:val="nil"/>
                <w:left w:val="nil"/>
                <w:bottom w:val="nil"/>
                <w:right w:val="nil"/>
                <w:between w:val="nil"/>
              </w:pBdr>
              <w:jc w:val="center"/>
              <w:rPr>
                <w:rFonts w:ascii="Times New Roman" w:hAnsi="Times New Roman" w:cs="Times New Roman"/>
                <w:color w:val="000000"/>
              </w:rPr>
            </w:pPr>
            <w:r w:rsidRPr="00561486">
              <w:rPr>
                <w:rFonts w:ascii="Times New Roman" w:hAnsi="Times New Roman" w:cs="Times New Roman"/>
                <w:color w:val="000000"/>
              </w:rPr>
              <w:t>24 créditos ECTS</w:t>
            </w:r>
          </w:p>
        </w:tc>
        <w:tc>
          <w:tcPr>
            <w:tcW w:w="5103" w:type="dxa"/>
            <w:shd w:val="clear" w:color="auto" w:fill="auto"/>
            <w:vAlign w:val="center"/>
          </w:tcPr>
          <w:p w14:paraId="61EC8A55" w14:textId="77777777" w:rsidR="005C5069" w:rsidRPr="00561486" w:rsidRDefault="005E6590" w:rsidP="00561486">
            <w:pPr>
              <w:pBdr>
                <w:top w:val="nil"/>
                <w:left w:val="nil"/>
                <w:bottom w:val="nil"/>
                <w:right w:val="nil"/>
                <w:between w:val="nil"/>
              </w:pBdr>
              <w:spacing w:after="80"/>
              <w:rPr>
                <w:rFonts w:ascii="Times New Roman" w:hAnsi="Times New Roman" w:cs="Times New Roman"/>
                <w:color w:val="000000"/>
              </w:rPr>
            </w:pPr>
            <w:r w:rsidRPr="00561486">
              <w:rPr>
                <w:rFonts w:ascii="Times New Roman" w:hAnsi="Times New Roman" w:cs="Times New Roman"/>
                <w:color w:val="000000"/>
              </w:rPr>
              <w:t>Complementos para la formación disciplinar</w:t>
            </w:r>
          </w:p>
          <w:p w14:paraId="4A83D929" w14:textId="77777777" w:rsidR="005C5069" w:rsidRPr="00561486" w:rsidRDefault="005E6590" w:rsidP="00561486">
            <w:pPr>
              <w:pBdr>
                <w:top w:val="nil"/>
                <w:left w:val="nil"/>
                <w:bottom w:val="nil"/>
                <w:right w:val="nil"/>
                <w:between w:val="nil"/>
              </w:pBdr>
              <w:spacing w:after="80"/>
              <w:rPr>
                <w:rFonts w:ascii="Times New Roman" w:hAnsi="Times New Roman" w:cs="Times New Roman"/>
                <w:color w:val="000000"/>
              </w:rPr>
            </w:pPr>
            <w:r w:rsidRPr="00561486">
              <w:rPr>
                <w:rFonts w:ascii="Times New Roman" w:hAnsi="Times New Roman" w:cs="Times New Roman"/>
                <w:color w:val="000000"/>
              </w:rPr>
              <w:t>Aprendizaje y enseñanza de la especialidad</w:t>
            </w:r>
          </w:p>
          <w:p w14:paraId="3F2EE485" w14:textId="77777777" w:rsidR="005C5069" w:rsidRPr="00561486" w:rsidRDefault="005E6590" w:rsidP="00561486">
            <w:pPr>
              <w:pBdr>
                <w:top w:val="nil"/>
                <w:left w:val="nil"/>
                <w:bottom w:val="nil"/>
                <w:right w:val="nil"/>
                <w:between w:val="nil"/>
              </w:pBdr>
              <w:spacing w:after="80"/>
              <w:rPr>
                <w:rFonts w:ascii="Times New Roman" w:hAnsi="Times New Roman" w:cs="Times New Roman"/>
                <w:color w:val="000000"/>
              </w:rPr>
            </w:pPr>
            <w:r w:rsidRPr="00561486">
              <w:rPr>
                <w:rFonts w:ascii="Times New Roman" w:hAnsi="Times New Roman" w:cs="Times New Roman"/>
                <w:color w:val="000000"/>
              </w:rPr>
              <w:t>Innovación docente e iniciación a la investigación educativa</w:t>
            </w:r>
          </w:p>
        </w:tc>
      </w:tr>
      <w:tr w:rsidR="005C5069" w:rsidRPr="00561486" w14:paraId="66429834" w14:textId="77777777" w:rsidTr="00561486">
        <w:trPr>
          <w:jc w:val="center"/>
        </w:trPr>
        <w:tc>
          <w:tcPr>
            <w:tcW w:w="1630" w:type="dxa"/>
            <w:shd w:val="clear" w:color="auto" w:fill="auto"/>
            <w:vAlign w:val="center"/>
          </w:tcPr>
          <w:p w14:paraId="26CB3EFE" w14:textId="77777777" w:rsidR="005C5069" w:rsidRPr="00561486" w:rsidRDefault="005E6590" w:rsidP="00561486">
            <w:pPr>
              <w:pBdr>
                <w:top w:val="nil"/>
                <w:left w:val="nil"/>
                <w:bottom w:val="nil"/>
                <w:right w:val="nil"/>
                <w:between w:val="nil"/>
              </w:pBdr>
              <w:rPr>
                <w:rFonts w:ascii="Times New Roman" w:hAnsi="Times New Roman" w:cs="Times New Roman"/>
                <w:color w:val="000000"/>
              </w:rPr>
            </w:pPr>
            <w:r w:rsidRPr="00561486">
              <w:rPr>
                <w:rFonts w:ascii="Times New Roman" w:hAnsi="Times New Roman" w:cs="Times New Roman"/>
                <w:color w:val="000000"/>
              </w:rPr>
              <w:lastRenderedPageBreak/>
              <w:t>Práctico</w:t>
            </w:r>
          </w:p>
        </w:tc>
        <w:tc>
          <w:tcPr>
            <w:tcW w:w="1626" w:type="dxa"/>
            <w:shd w:val="clear" w:color="auto" w:fill="auto"/>
            <w:vAlign w:val="center"/>
          </w:tcPr>
          <w:p w14:paraId="5E3C6BB1" w14:textId="77777777" w:rsidR="005C5069" w:rsidRPr="00561486" w:rsidRDefault="005E6590" w:rsidP="00561486">
            <w:pPr>
              <w:pBdr>
                <w:top w:val="nil"/>
                <w:left w:val="nil"/>
                <w:bottom w:val="nil"/>
                <w:right w:val="nil"/>
                <w:between w:val="nil"/>
              </w:pBdr>
              <w:jc w:val="center"/>
              <w:rPr>
                <w:rFonts w:ascii="Times New Roman" w:hAnsi="Times New Roman" w:cs="Times New Roman"/>
                <w:color w:val="000000"/>
              </w:rPr>
            </w:pPr>
            <w:r w:rsidRPr="00561486">
              <w:rPr>
                <w:rFonts w:ascii="Times New Roman" w:hAnsi="Times New Roman" w:cs="Times New Roman"/>
                <w:color w:val="000000"/>
              </w:rPr>
              <w:t>16 créditos ECTS</w:t>
            </w:r>
          </w:p>
        </w:tc>
        <w:tc>
          <w:tcPr>
            <w:tcW w:w="5103" w:type="dxa"/>
            <w:shd w:val="clear" w:color="auto" w:fill="auto"/>
          </w:tcPr>
          <w:p w14:paraId="4EFC41D6" w14:textId="77777777" w:rsidR="005C5069" w:rsidRPr="00561486" w:rsidRDefault="005E6590" w:rsidP="00561486">
            <w:pPr>
              <w:pBdr>
                <w:top w:val="nil"/>
                <w:left w:val="nil"/>
                <w:bottom w:val="nil"/>
                <w:right w:val="nil"/>
                <w:between w:val="nil"/>
              </w:pBdr>
              <w:spacing w:after="80"/>
              <w:rPr>
                <w:rFonts w:ascii="Times New Roman" w:hAnsi="Times New Roman" w:cs="Times New Roman"/>
                <w:color w:val="000000"/>
              </w:rPr>
            </w:pPr>
            <w:r w:rsidRPr="00561486">
              <w:rPr>
                <w:rFonts w:ascii="Times New Roman" w:hAnsi="Times New Roman" w:cs="Times New Roman"/>
                <w:color w:val="000000"/>
              </w:rPr>
              <w:t>Periodo de prácticas en la especialidad</w:t>
            </w:r>
          </w:p>
          <w:p w14:paraId="3E769518" w14:textId="77777777" w:rsidR="005C5069" w:rsidRPr="00561486" w:rsidRDefault="005E6590" w:rsidP="00561486">
            <w:pPr>
              <w:pBdr>
                <w:top w:val="nil"/>
                <w:left w:val="nil"/>
                <w:bottom w:val="nil"/>
                <w:right w:val="nil"/>
                <w:between w:val="nil"/>
              </w:pBdr>
              <w:spacing w:after="80"/>
              <w:rPr>
                <w:rFonts w:ascii="Times New Roman" w:hAnsi="Times New Roman" w:cs="Times New Roman"/>
                <w:color w:val="000000"/>
              </w:rPr>
            </w:pPr>
            <w:r w:rsidRPr="00561486">
              <w:rPr>
                <w:rFonts w:ascii="Times New Roman" w:hAnsi="Times New Roman" w:cs="Times New Roman"/>
                <w:color w:val="000000"/>
              </w:rPr>
              <w:t>Trabajo Fin de Máster</w:t>
            </w:r>
          </w:p>
        </w:tc>
      </w:tr>
    </w:tbl>
    <w:p w14:paraId="23D5DE9B" w14:textId="77777777" w:rsidR="005C5069" w:rsidRPr="003B466F" w:rsidRDefault="005C5069" w:rsidP="003B466F">
      <w:pPr>
        <w:jc w:val="both"/>
        <w:rPr>
          <w:rFonts w:ascii="Times New Roman" w:hAnsi="Times New Roman" w:cs="Times New Roman"/>
          <w:sz w:val="24"/>
          <w:szCs w:val="24"/>
        </w:rPr>
      </w:pPr>
    </w:p>
    <w:p w14:paraId="5EC9A05F"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Como se observa en la Tabla 1, 52 de los 60 créditos ECTS de que consta el Máster ya vienen fijados en los tres módulos por esta orden estatal, por lo que se deja a cada universidad un margen de autonomía de 8 créditos ECTS que ubican generalmente añadiendo más créditos a uno o varios de los módulos. Además, dado que la orden no marca el número de créditos que han de destinarse a cada área, cada universidad también tiene autonomía para distribuir, dentro de cada módulo, los créditos ECTS correspondientes a cada área. Garrido (2019) realiza un estudio de esa distribución de créditos en las especialidades de matemáticas del Máster de Secundaria en universidades de la Comunidad de Madrid. Tomando como base ese estudio, ampliamos el mismo a una muestra territorialmente variada de 22 universidades públicas españolas que ofertan la especialidad de matemáticas, añadiendo el desglose de la distribución de créditos en las tres áreas del módulo específico, por ser este módulo el más directamente vinculado con la formación inicial en la parte de la didáctica específica.</w:t>
      </w:r>
    </w:p>
    <w:p w14:paraId="781A41F6"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Tabla 2. Distribución de créditos por módulos y áreas del módulo genérico en los planes de estudio de una selección de universidades públicas españolas.</w:t>
      </w:r>
    </w:p>
    <w:tbl>
      <w:tblPr>
        <w:tblStyle w:val="a0"/>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1418"/>
        <w:gridCol w:w="850"/>
        <w:gridCol w:w="851"/>
        <w:gridCol w:w="850"/>
        <w:gridCol w:w="851"/>
        <w:gridCol w:w="1411"/>
      </w:tblGrid>
      <w:tr w:rsidR="005C5069" w:rsidRPr="00CD453D" w14:paraId="1B03A5B8" w14:textId="77777777">
        <w:trPr>
          <w:jc w:val="center"/>
        </w:trPr>
        <w:tc>
          <w:tcPr>
            <w:tcW w:w="2263" w:type="dxa"/>
            <w:vMerge w:val="restart"/>
            <w:shd w:val="clear" w:color="auto" w:fill="auto"/>
            <w:vAlign w:val="center"/>
          </w:tcPr>
          <w:p w14:paraId="22617853" w14:textId="77777777" w:rsidR="005C5069" w:rsidRPr="00CD453D" w:rsidRDefault="005E6590" w:rsidP="003B466F">
            <w:pPr>
              <w:pBdr>
                <w:top w:val="nil"/>
                <w:left w:val="nil"/>
                <w:bottom w:val="nil"/>
                <w:right w:val="nil"/>
                <w:between w:val="nil"/>
              </w:pBdr>
              <w:jc w:val="center"/>
              <w:rPr>
                <w:rFonts w:ascii="Times New Roman" w:hAnsi="Times New Roman" w:cs="Times New Roman"/>
                <w:i/>
                <w:color w:val="000000"/>
              </w:rPr>
            </w:pPr>
            <w:r w:rsidRPr="00CD453D">
              <w:rPr>
                <w:rFonts w:ascii="Times New Roman" w:hAnsi="Times New Roman" w:cs="Times New Roman"/>
                <w:i/>
                <w:color w:val="000000"/>
              </w:rPr>
              <w:t>Universidad</w:t>
            </w:r>
          </w:p>
        </w:tc>
        <w:tc>
          <w:tcPr>
            <w:tcW w:w="1418" w:type="dxa"/>
            <w:vMerge w:val="restart"/>
            <w:shd w:val="clear" w:color="auto" w:fill="auto"/>
            <w:vAlign w:val="center"/>
          </w:tcPr>
          <w:p w14:paraId="1051C8AB" w14:textId="77777777" w:rsidR="005C5069" w:rsidRPr="00CD453D" w:rsidRDefault="005E6590" w:rsidP="003B466F">
            <w:pPr>
              <w:pBdr>
                <w:top w:val="nil"/>
                <w:left w:val="nil"/>
                <w:bottom w:val="nil"/>
                <w:right w:val="nil"/>
                <w:between w:val="nil"/>
              </w:pBdr>
              <w:jc w:val="center"/>
              <w:rPr>
                <w:rFonts w:ascii="Times New Roman" w:hAnsi="Times New Roman" w:cs="Times New Roman"/>
                <w:i/>
                <w:color w:val="000000"/>
              </w:rPr>
            </w:pPr>
            <w:r w:rsidRPr="00CD453D">
              <w:rPr>
                <w:rFonts w:ascii="Times New Roman" w:hAnsi="Times New Roman" w:cs="Times New Roman"/>
                <w:i/>
                <w:color w:val="000000"/>
              </w:rPr>
              <w:t>Créditos ECTS</w:t>
            </w:r>
          </w:p>
          <w:p w14:paraId="2C8C0AA9" w14:textId="0B74ECDA" w:rsidR="005C5069" w:rsidRPr="00CD453D" w:rsidRDefault="005E6590" w:rsidP="003B466F">
            <w:pPr>
              <w:pBdr>
                <w:top w:val="nil"/>
                <w:left w:val="nil"/>
                <w:bottom w:val="nil"/>
                <w:right w:val="nil"/>
                <w:between w:val="nil"/>
              </w:pBdr>
              <w:jc w:val="center"/>
              <w:rPr>
                <w:rFonts w:ascii="Times New Roman" w:hAnsi="Times New Roman" w:cs="Times New Roman"/>
                <w:i/>
                <w:color w:val="000000"/>
              </w:rPr>
            </w:pPr>
            <w:r w:rsidRPr="00CD453D">
              <w:rPr>
                <w:rFonts w:ascii="Times New Roman" w:hAnsi="Times New Roman" w:cs="Times New Roman"/>
                <w:i/>
                <w:color w:val="000000"/>
              </w:rPr>
              <w:t>Mód</w:t>
            </w:r>
            <w:r w:rsidR="00CD453D">
              <w:rPr>
                <w:rFonts w:ascii="Times New Roman" w:hAnsi="Times New Roman" w:cs="Times New Roman"/>
                <w:i/>
                <w:color w:val="000000"/>
              </w:rPr>
              <w:t xml:space="preserve">ulo </w:t>
            </w:r>
            <w:r w:rsidRPr="00CD453D">
              <w:rPr>
                <w:rFonts w:ascii="Times New Roman" w:hAnsi="Times New Roman" w:cs="Times New Roman"/>
                <w:i/>
                <w:color w:val="000000"/>
              </w:rPr>
              <w:t>Genérico</w:t>
            </w:r>
          </w:p>
        </w:tc>
        <w:tc>
          <w:tcPr>
            <w:tcW w:w="3402" w:type="dxa"/>
            <w:gridSpan w:val="4"/>
            <w:vAlign w:val="center"/>
          </w:tcPr>
          <w:p w14:paraId="1381B443" w14:textId="77777777" w:rsidR="005C5069" w:rsidRPr="00CD453D" w:rsidRDefault="005E6590" w:rsidP="003B466F">
            <w:pPr>
              <w:pBdr>
                <w:top w:val="nil"/>
                <w:left w:val="nil"/>
                <w:bottom w:val="nil"/>
                <w:right w:val="nil"/>
                <w:between w:val="nil"/>
              </w:pBdr>
              <w:jc w:val="center"/>
              <w:rPr>
                <w:rFonts w:ascii="Times New Roman" w:hAnsi="Times New Roman" w:cs="Times New Roman"/>
                <w:i/>
                <w:color w:val="000000"/>
              </w:rPr>
            </w:pPr>
            <w:r w:rsidRPr="00CD453D">
              <w:rPr>
                <w:rFonts w:ascii="Times New Roman" w:hAnsi="Times New Roman" w:cs="Times New Roman"/>
                <w:i/>
                <w:color w:val="000000"/>
              </w:rPr>
              <w:t>Créditos ECTS</w:t>
            </w:r>
          </w:p>
          <w:p w14:paraId="71ED3106" w14:textId="23D43357" w:rsidR="005C5069" w:rsidRPr="00CD453D" w:rsidRDefault="005E6590" w:rsidP="003B466F">
            <w:pPr>
              <w:pBdr>
                <w:top w:val="nil"/>
                <w:left w:val="nil"/>
                <w:bottom w:val="nil"/>
                <w:right w:val="nil"/>
                <w:between w:val="nil"/>
              </w:pBdr>
              <w:jc w:val="center"/>
              <w:rPr>
                <w:rFonts w:ascii="Times New Roman" w:hAnsi="Times New Roman" w:cs="Times New Roman"/>
                <w:i/>
                <w:color w:val="000000"/>
              </w:rPr>
            </w:pPr>
            <w:r w:rsidRPr="00CD453D">
              <w:rPr>
                <w:rFonts w:ascii="Times New Roman" w:hAnsi="Times New Roman" w:cs="Times New Roman"/>
                <w:i/>
                <w:color w:val="000000"/>
              </w:rPr>
              <w:t>Mód</w:t>
            </w:r>
            <w:r w:rsidR="00CD453D">
              <w:rPr>
                <w:rFonts w:ascii="Times New Roman" w:hAnsi="Times New Roman" w:cs="Times New Roman"/>
                <w:i/>
                <w:color w:val="000000"/>
              </w:rPr>
              <w:t xml:space="preserve">ulo </w:t>
            </w:r>
            <w:r w:rsidRPr="00CD453D">
              <w:rPr>
                <w:rFonts w:ascii="Times New Roman" w:hAnsi="Times New Roman" w:cs="Times New Roman"/>
                <w:i/>
                <w:color w:val="000000"/>
              </w:rPr>
              <w:t>Específico</w:t>
            </w:r>
          </w:p>
        </w:tc>
        <w:tc>
          <w:tcPr>
            <w:tcW w:w="1411" w:type="dxa"/>
            <w:vMerge w:val="restart"/>
            <w:shd w:val="clear" w:color="auto" w:fill="auto"/>
            <w:vAlign w:val="center"/>
          </w:tcPr>
          <w:p w14:paraId="337EA658" w14:textId="77777777" w:rsidR="005C5069" w:rsidRPr="00CD453D" w:rsidRDefault="005E6590" w:rsidP="003B466F">
            <w:pPr>
              <w:pBdr>
                <w:top w:val="nil"/>
                <w:left w:val="nil"/>
                <w:bottom w:val="nil"/>
                <w:right w:val="nil"/>
                <w:between w:val="nil"/>
              </w:pBdr>
              <w:jc w:val="center"/>
              <w:rPr>
                <w:rFonts w:ascii="Times New Roman" w:hAnsi="Times New Roman" w:cs="Times New Roman"/>
                <w:i/>
                <w:color w:val="000000"/>
              </w:rPr>
            </w:pPr>
            <w:r w:rsidRPr="00CD453D">
              <w:rPr>
                <w:rFonts w:ascii="Times New Roman" w:hAnsi="Times New Roman" w:cs="Times New Roman"/>
                <w:i/>
                <w:color w:val="000000"/>
              </w:rPr>
              <w:t>Créditos ECTS</w:t>
            </w:r>
          </w:p>
          <w:p w14:paraId="1CC05EDA" w14:textId="4B3C5244" w:rsidR="005C5069" w:rsidRPr="00CD453D" w:rsidRDefault="005E6590" w:rsidP="003B466F">
            <w:pPr>
              <w:pBdr>
                <w:top w:val="nil"/>
                <w:left w:val="nil"/>
                <w:bottom w:val="nil"/>
                <w:right w:val="nil"/>
                <w:between w:val="nil"/>
              </w:pBdr>
              <w:jc w:val="center"/>
              <w:rPr>
                <w:rFonts w:ascii="Times New Roman" w:hAnsi="Times New Roman" w:cs="Times New Roman"/>
                <w:i/>
                <w:color w:val="000000"/>
              </w:rPr>
            </w:pPr>
            <w:r w:rsidRPr="00CD453D">
              <w:rPr>
                <w:rFonts w:ascii="Times New Roman" w:hAnsi="Times New Roman" w:cs="Times New Roman"/>
                <w:i/>
                <w:color w:val="000000"/>
              </w:rPr>
              <w:t>Mód</w:t>
            </w:r>
            <w:r w:rsidR="00CD453D">
              <w:rPr>
                <w:rFonts w:ascii="Times New Roman" w:hAnsi="Times New Roman" w:cs="Times New Roman"/>
                <w:i/>
                <w:color w:val="000000"/>
              </w:rPr>
              <w:t xml:space="preserve">ulo </w:t>
            </w:r>
            <w:r w:rsidRPr="00CD453D">
              <w:rPr>
                <w:rFonts w:ascii="Times New Roman" w:hAnsi="Times New Roman" w:cs="Times New Roman"/>
                <w:i/>
                <w:color w:val="000000"/>
              </w:rPr>
              <w:t>Práctico</w:t>
            </w:r>
          </w:p>
        </w:tc>
      </w:tr>
      <w:tr w:rsidR="005C5069" w:rsidRPr="00CD453D" w14:paraId="66738E9E" w14:textId="77777777">
        <w:trPr>
          <w:jc w:val="center"/>
        </w:trPr>
        <w:tc>
          <w:tcPr>
            <w:tcW w:w="2263" w:type="dxa"/>
            <w:vMerge/>
            <w:shd w:val="clear" w:color="auto" w:fill="auto"/>
            <w:vAlign w:val="center"/>
          </w:tcPr>
          <w:p w14:paraId="75F9331F" w14:textId="77777777" w:rsidR="005C5069" w:rsidRPr="00CD453D" w:rsidRDefault="005C5069" w:rsidP="003B466F">
            <w:pPr>
              <w:widowControl w:val="0"/>
              <w:pBdr>
                <w:top w:val="nil"/>
                <w:left w:val="nil"/>
                <w:bottom w:val="nil"/>
                <w:right w:val="nil"/>
                <w:between w:val="nil"/>
              </w:pBdr>
              <w:rPr>
                <w:rFonts w:ascii="Times New Roman" w:hAnsi="Times New Roman" w:cs="Times New Roman"/>
                <w:i/>
                <w:color w:val="000000"/>
              </w:rPr>
            </w:pPr>
          </w:p>
        </w:tc>
        <w:tc>
          <w:tcPr>
            <w:tcW w:w="1418" w:type="dxa"/>
            <w:vMerge/>
            <w:shd w:val="clear" w:color="auto" w:fill="auto"/>
            <w:vAlign w:val="center"/>
          </w:tcPr>
          <w:p w14:paraId="742B1DB3" w14:textId="77777777" w:rsidR="005C5069" w:rsidRPr="00CD453D" w:rsidRDefault="005C5069" w:rsidP="003B466F">
            <w:pPr>
              <w:widowControl w:val="0"/>
              <w:pBdr>
                <w:top w:val="nil"/>
                <w:left w:val="nil"/>
                <w:bottom w:val="nil"/>
                <w:right w:val="nil"/>
                <w:between w:val="nil"/>
              </w:pBdr>
              <w:rPr>
                <w:rFonts w:ascii="Times New Roman" w:hAnsi="Times New Roman" w:cs="Times New Roman"/>
                <w:i/>
                <w:color w:val="000000"/>
              </w:rPr>
            </w:pPr>
          </w:p>
        </w:tc>
        <w:tc>
          <w:tcPr>
            <w:tcW w:w="850" w:type="dxa"/>
          </w:tcPr>
          <w:p w14:paraId="351F5C88" w14:textId="77777777" w:rsidR="005C5069" w:rsidRPr="00CD453D" w:rsidRDefault="005E6590" w:rsidP="003B466F">
            <w:pPr>
              <w:pBdr>
                <w:top w:val="nil"/>
                <w:left w:val="nil"/>
                <w:bottom w:val="nil"/>
                <w:right w:val="nil"/>
                <w:between w:val="nil"/>
              </w:pBdr>
              <w:jc w:val="center"/>
              <w:rPr>
                <w:rFonts w:ascii="Times New Roman" w:hAnsi="Times New Roman" w:cs="Times New Roman"/>
                <w:i/>
                <w:color w:val="000000"/>
              </w:rPr>
            </w:pPr>
            <w:r w:rsidRPr="00CD453D">
              <w:rPr>
                <w:rFonts w:ascii="Times New Roman" w:hAnsi="Times New Roman" w:cs="Times New Roman"/>
                <w:i/>
                <w:color w:val="000000"/>
              </w:rPr>
              <w:t>CFM</w:t>
            </w:r>
          </w:p>
        </w:tc>
        <w:tc>
          <w:tcPr>
            <w:tcW w:w="851" w:type="dxa"/>
          </w:tcPr>
          <w:p w14:paraId="0F2D94AB" w14:textId="77777777" w:rsidR="005C5069" w:rsidRPr="00CD453D" w:rsidRDefault="005E6590" w:rsidP="003B466F">
            <w:pPr>
              <w:pBdr>
                <w:top w:val="nil"/>
                <w:left w:val="nil"/>
                <w:bottom w:val="nil"/>
                <w:right w:val="nil"/>
                <w:between w:val="nil"/>
              </w:pBdr>
              <w:jc w:val="center"/>
              <w:rPr>
                <w:rFonts w:ascii="Times New Roman" w:hAnsi="Times New Roman" w:cs="Times New Roman"/>
                <w:i/>
                <w:color w:val="000000"/>
              </w:rPr>
            </w:pPr>
            <w:r w:rsidRPr="00CD453D">
              <w:rPr>
                <w:rFonts w:ascii="Times New Roman" w:hAnsi="Times New Roman" w:cs="Times New Roman"/>
                <w:i/>
                <w:color w:val="000000"/>
              </w:rPr>
              <w:t>AEM</w:t>
            </w:r>
          </w:p>
        </w:tc>
        <w:tc>
          <w:tcPr>
            <w:tcW w:w="850" w:type="dxa"/>
          </w:tcPr>
          <w:p w14:paraId="62AD0DA1" w14:textId="77777777" w:rsidR="005C5069" w:rsidRPr="00CD453D" w:rsidRDefault="005E6590" w:rsidP="003B466F">
            <w:pPr>
              <w:pBdr>
                <w:top w:val="nil"/>
                <w:left w:val="nil"/>
                <w:bottom w:val="nil"/>
                <w:right w:val="nil"/>
                <w:between w:val="nil"/>
              </w:pBdr>
              <w:jc w:val="center"/>
              <w:rPr>
                <w:rFonts w:ascii="Times New Roman" w:hAnsi="Times New Roman" w:cs="Times New Roman"/>
                <w:i/>
                <w:color w:val="000000"/>
              </w:rPr>
            </w:pPr>
            <w:r w:rsidRPr="00CD453D">
              <w:rPr>
                <w:rFonts w:ascii="Times New Roman" w:hAnsi="Times New Roman" w:cs="Times New Roman"/>
                <w:i/>
                <w:color w:val="000000"/>
              </w:rPr>
              <w:t>IDIIE</w:t>
            </w:r>
          </w:p>
        </w:tc>
        <w:tc>
          <w:tcPr>
            <w:tcW w:w="851" w:type="dxa"/>
          </w:tcPr>
          <w:p w14:paraId="23F0CB75" w14:textId="77777777" w:rsidR="005C5069" w:rsidRPr="00CD453D" w:rsidRDefault="005E6590" w:rsidP="003B466F">
            <w:pPr>
              <w:pBdr>
                <w:top w:val="nil"/>
                <w:left w:val="nil"/>
                <w:bottom w:val="nil"/>
                <w:right w:val="nil"/>
                <w:between w:val="nil"/>
              </w:pBdr>
              <w:jc w:val="center"/>
              <w:rPr>
                <w:rFonts w:ascii="Times New Roman" w:hAnsi="Times New Roman" w:cs="Times New Roman"/>
                <w:i/>
                <w:color w:val="000000"/>
              </w:rPr>
            </w:pPr>
            <w:r w:rsidRPr="00CD453D">
              <w:rPr>
                <w:rFonts w:ascii="Times New Roman" w:hAnsi="Times New Roman" w:cs="Times New Roman"/>
                <w:i/>
                <w:color w:val="000000"/>
              </w:rPr>
              <w:t>Total</w:t>
            </w:r>
          </w:p>
        </w:tc>
        <w:tc>
          <w:tcPr>
            <w:tcW w:w="1411" w:type="dxa"/>
            <w:vMerge/>
            <w:shd w:val="clear" w:color="auto" w:fill="auto"/>
            <w:vAlign w:val="center"/>
          </w:tcPr>
          <w:p w14:paraId="67BA058B" w14:textId="77777777" w:rsidR="005C5069" w:rsidRPr="00CD453D" w:rsidRDefault="005C5069" w:rsidP="003B466F">
            <w:pPr>
              <w:widowControl w:val="0"/>
              <w:pBdr>
                <w:top w:val="nil"/>
                <w:left w:val="nil"/>
                <w:bottom w:val="nil"/>
                <w:right w:val="nil"/>
                <w:between w:val="nil"/>
              </w:pBdr>
              <w:rPr>
                <w:rFonts w:ascii="Times New Roman" w:hAnsi="Times New Roman" w:cs="Times New Roman"/>
                <w:i/>
                <w:color w:val="000000"/>
              </w:rPr>
            </w:pPr>
          </w:p>
        </w:tc>
      </w:tr>
      <w:tr w:rsidR="005C5069" w:rsidRPr="00CD453D" w14:paraId="3171CB2D" w14:textId="77777777" w:rsidTr="00CD453D">
        <w:trPr>
          <w:jc w:val="center"/>
        </w:trPr>
        <w:tc>
          <w:tcPr>
            <w:tcW w:w="2263" w:type="dxa"/>
            <w:shd w:val="clear" w:color="auto" w:fill="auto"/>
            <w:vAlign w:val="center"/>
          </w:tcPr>
          <w:p w14:paraId="7A333D87"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Alcalá de Henares</w:t>
            </w:r>
          </w:p>
        </w:tc>
        <w:tc>
          <w:tcPr>
            <w:tcW w:w="1418" w:type="dxa"/>
            <w:shd w:val="clear" w:color="auto" w:fill="auto"/>
            <w:vAlign w:val="center"/>
          </w:tcPr>
          <w:p w14:paraId="1ACC6718"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20</w:t>
            </w:r>
          </w:p>
        </w:tc>
        <w:tc>
          <w:tcPr>
            <w:tcW w:w="850" w:type="dxa"/>
            <w:vAlign w:val="center"/>
          </w:tcPr>
          <w:p w14:paraId="2E9BD1B8"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8</w:t>
            </w:r>
          </w:p>
        </w:tc>
        <w:tc>
          <w:tcPr>
            <w:tcW w:w="851" w:type="dxa"/>
            <w:vAlign w:val="center"/>
          </w:tcPr>
          <w:p w14:paraId="2AC95D0E"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8</w:t>
            </w:r>
          </w:p>
        </w:tc>
        <w:tc>
          <w:tcPr>
            <w:tcW w:w="850" w:type="dxa"/>
            <w:vAlign w:val="center"/>
          </w:tcPr>
          <w:p w14:paraId="0A03BA6E"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8</w:t>
            </w:r>
          </w:p>
        </w:tc>
        <w:tc>
          <w:tcPr>
            <w:tcW w:w="851" w:type="dxa"/>
            <w:vAlign w:val="center"/>
          </w:tcPr>
          <w:p w14:paraId="4C13C75B"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24</w:t>
            </w:r>
          </w:p>
        </w:tc>
        <w:tc>
          <w:tcPr>
            <w:tcW w:w="1411" w:type="dxa"/>
            <w:shd w:val="clear" w:color="auto" w:fill="auto"/>
            <w:vAlign w:val="center"/>
          </w:tcPr>
          <w:p w14:paraId="2DD3CD25"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16</w:t>
            </w:r>
          </w:p>
        </w:tc>
      </w:tr>
      <w:tr w:rsidR="005C5069" w:rsidRPr="00CD453D" w14:paraId="657FEF12" w14:textId="77777777" w:rsidTr="00CD453D">
        <w:trPr>
          <w:jc w:val="center"/>
        </w:trPr>
        <w:tc>
          <w:tcPr>
            <w:tcW w:w="2263" w:type="dxa"/>
            <w:shd w:val="clear" w:color="auto" w:fill="auto"/>
            <w:vAlign w:val="center"/>
          </w:tcPr>
          <w:p w14:paraId="758C42CE"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Alicante</w:t>
            </w:r>
          </w:p>
        </w:tc>
        <w:tc>
          <w:tcPr>
            <w:tcW w:w="1418" w:type="dxa"/>
            <w:shd w:val="clear" w:color="auto" w:fill="auto"/>
            <w:vAlign w:val="center"/>
          </w:tcPr>
          <w:p w14:paraId="20EBC14A"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14</w:t>
            </w:r>
          </w:p>
        </w:tc>
        <w:tc>
          <w:tcPr>
            <w:tcW w:w="850" w:type="dxa"/>
            <w:vAlign w:val="center"/>
          </w:tcPr>
          <w:p w14:paraId="0F62EF74"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9</w:t>
            </w:r>
          </w:p>
        </w:tc>
        <w:tc>
          <w:tcPr>
            <w:tcW w:w="851" w:type="dxa"/>
            <w:vAlign w:val="center"/>
          </w:tcPr>
          <w:p w14:paraId="6188F820"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15</w:t>
            </w:r>
          </w:p>
        </w:tc>
        <w:tc>
          <w:tcPr>
            <w:tcW w:w="850" w:type="dxa"/>
            <w:vAlign w:val="center"/>
          </w:tcPr>
          <w:p w14:paraId="5EA3CC4C"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4CE1764C"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30</w:t>
            </w:r>
          </w:p>
        </w:tc>
        <w:tc>
          <w:tcPr>
            <w:tcW w:w="1411" w:type="dxa"/>
            <w:shd w:val="clear" w:color="auto" w:fill="auto"/>
            <w:vAlign w:val="center"/>
          </w:tcPr>
          <w:p w14:paraId="008410AA"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16</w:t>
            </w:r>
          </w:p>
        </w:tc>
      </w:tr>
      <w:tr w:rsidR="005C5069" w:rsidRPr="00CD453D" w14:paraId="6A4719E8" w14:textId="77777777" w:rsidTr="00CD453D">
        <w:trPr>
          <w:jc w:val="center"/>
        </w:trPr>
        <w:tc>
          <w:tcPr>
            <w:tcW w:w="2263" w:type="dxa"/>
            <w:shd w:val="clear" w:color="auto" w:fill="auto"/>
            <w:vAlign w:val="center"/>
          </w:tcPr>
          <w:p w14:paraId="780370E9"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Autónoma de Barcelona (Interuniversitario)</w:t>
            </w:r>
          </w:p>
        </w:tc>
        <w:tc>
          <w:tcPr>
            <w:tcW w:w="1418" w:type="dxa"/>
            <w:shd w:val="clear" w:color="auto" w:fill="auto"/>
            <w:vAlign w:val="center"/>
          </w:tcPr>
          <w:p w14:paraId="370F8B1D"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12</w:t>
            </w:r>
          </w:p>
        </w:tc>
        <w:tc>
          <w:tcPr>
            <w:tcW w:w="850" w:type="dxa"/>
            <w:vAlign w:val="center"/>
          </w:tcPr>
          <w:p w14:paraId="6A58A3BC"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10</w:t>
            </w:r>
          </w:p>
        </w:tc>
        <w:tc>
          <w:tcPr>
            <w:tcW w:w="851" w:type="dxa"/>
            <w:vAlign w:val="center"/>
          </w:tcPr>
          <w:p w14:paraId="658E5915"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12</w:t>
            </w:r>
          </w:p>
        </w:tc>
        <w:tc>
          <w:tcPr>
            <w:tcW w:w="850" w:type="dxa"/>
            <w:vAlign w:val="center"/>
          </w:tcPr>
          <w:p w14:paraId="20FC6926"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0E5AAD93"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28</w:t>
            </w:r>
          </w:p>
        </w:tc>
        <w:tc>
          <w:tcPr>
            <w:tcW w:w="1411" w:type="dxa"/>
            <w:shd w:val="clear" w:color="auto" w:fill="auto"/>
            <w:vAlign w:val="center"/>
          </w:tcPr>
          <w:p w14:paraId="47C1A0EA"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20</w:t>
            </w:r>
          </w:p>
        </w:tc>
      </w:tr>
      <w:tr w:rsidR="005C5069" w:rsidRPr="00CD453D" w14:paraId="63411C55" w14:textId="77777777" w:rsidTr="00CD453D">
        <w:trPr>
          <w:jc w:val="center"/>
        </w:trPr>
        <w:tc>
          <w:tcPr>
            <w:tcW w:w="2263" w:type="dxa"/>
            <w:shd w:val="clear" w:color="auto" w:fill="auto"/>
            <w:vAlign w:val="center"/>
          </w:tcPr>
          <w:p w14:paraId="44B9BE82"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Autónoma de Madrid</w:t>
            </w:r>
          </w:p>
        </w:tc>
        <w:tc>
          <w:tcPr>
            <w:tcW w:w="1418" w:type="dxa"/>
            <w:shd w:val="clear" w:color="auto" w:fill="auto"/>
            <w:vAlign w:val="center"/>
          </w:tcPr>
          <w:p w14:paraId="24CE6A47"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14</w:t>
            </w:r>
          </w:p>
        </w:tc>
        <w:tc>
          <w:tcPr>
            <w:tcW w:w="850" w:type="dxa"/>
            <w:vAlign w:val="center"/>
          </w:tcPr>
          <w:p w14:paraId="1DCFF299"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10</w:t>
            </w:r>
          </w:p>
        </w:tc>
        <w:tc>
          <w:tcPr>
            <w:tcW w:w="851" w:type="dxa"/>
            <w:vAlign w:val="center"/>
          </w:tcPr>
          <w:p w14:paraId="4D9A9207"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12</w:t>
            </w:r>
          </w:p>
        </w:tc>
        <w:tc>
          <w:tcPr>
            <w:tcW w:w="850" w:type="dxa"/>
            <w:vAlign w:val="center"/>
          </w:tcPr>
          <w:p w14:paraId="3DE0E418"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4</w:t>
            </w:r>
          </w:p>
        </w:tc>
        <w:tc>
          <w:tcPr>
            <w:tcW w:w="851" w:type="dxa"/>
            <w:vAlign w:val="center"/>
          </w:tcPr>
          <w:p w14:paraId="779B467B"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26</w:t>
            </w:r>
          </w:p>
        </w:tc>
        <w:tc>
          <w:tcPr>
            <w:tcW w:w="1411" w:type="dxa"/>
            <w:shd w:val="clear" w:color="auto" w:fill="auto"/>
            <w:vAlign w:val="center"/>
          </w:tcPr>
          <w:p w14:paraId="1AEBCDC1"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20</w:t>
            </w:r>
          </w:p>
        </w:tc>
      </w:tr>
      <w:tr w:rsidR="005C5069" w:rsidRPr="00CD453D" w14:paraId="5E5E8547" w14:textId="77777777" w:rsidTr="00CD453D">
        <w:trPr>
          <w:jc w:val="center"/>
        </w:trPr>
        <w:tc>
          <w:tcPr>
            <w:tcW w:w="2263" w:type="dxa"/>
            <w:shd w:val="clear" w:color="auto" w:fill="auto"/>
            <w:vAlign w:val="center"/>
          </w:tcPr>
          <w:p w14:paraId="53E8E40F"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Cantabria</w:t>
            </w:r>
          </w:p>
        </w:tc>
        <w:tc>
          <w:tcPr>
            <w:tcW w:w="1418" w:type="dxa"/>
            <w:shd w:val="clear" w:color="auto" w:fill="auto"/>
            <w:vAlign w:val="center"/>
          </w:tcPr>
          <w:p w14:paraId="288204F8"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15</w:t>
            </w:r>
          </w:p>
        </w:tc>
        <w:tc>
          <w:tcPr>
            <w:tcW w:w="850" w:type="dxa"/>
            <w:vAlign w:val="center"/>
          </w:tcPr>
          <w:p w14:paraId="1F0558B1"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9</w:t>
            </w:r>
          </w:p>
        </w:tc>
        <w:tc>
          <w:tcPr>
            <w:tcW w:w="851" w:type="dxa"/>
            <w:vAlign w:val="center"/>
          </w:tcPr>
          <w:p w14:paraId="2B28336D"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9</w:t>
            </w:r>
          </w:p>
        </w:tc>
        <w:tc>
          <w:tcPr>
            <w:tcW w:w="850" w:type="dxa"/>
            <w:vAlign w:val="center"/>
          </w:tcPr>
          <w:p w14:paraId="4049AE1F"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65A9A6B6"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24</w:t>
            </w:r>
          </w:p>
        </w:tc>
        <w:tc>
          <w:tcPr>
            <w:tcW w:w="1411" w:type="dxa"/>
            <w:shd w:val="clear" w:color="auto" w:fill="auto"/>
            <w:vAlign w:val="center"/>
          </w:tcPr>
          <w:p w14:paraId="386D90F3"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21</w:t>
            </w:r>
          </w:p>
        </w:tc>
      </w:tr>
      <w:tr w:rsidR="005C5069" w:rsidRPr="00CD453D" w14:paraId="6A1BDF47" w14:textId="77777777" w:rsidTr="00CD453D">
        <w:trPr>
          <w:jc w:val="center"/>
        </w:trPr>
        <w:tc>
          <w:tcPr>
            <w:tcW w:w="2263" w:type="dxa"/>
            <w:shd w:val="clear" w:color="auto" w:fill="auto"/>
            <w:vAlign w:val="center"/>
          </w:tcPr>
          <w:p w14:paraId="6B2BEE2D"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Castilla – La Mancha</w:t>
            </w:r>
          </w:p>
        </w:tc>
        <w:tc>
          <w:tcPr>
            <w:tcW w:w="1418" w:type="dxa"/>
            <w:shd w:val="clear" w:color="auto" w:fill="auto"/>
            <w:vAlign w:val="center"/>
          </w:tcPr>
          <w:p w14:paraId="0F5D1815"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12</w:t>
            </w:r>
          </w:p>
        </w:tc>
        <w:tc>
          <w:tcPr>
            <w:tcW w:w="850" w:type="dxa"/>
            <w:vAlign w:val="center"/>
          </w:tcPr>
          <w:p w14:paraId="0171881E"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7B7F99FF"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12</w:t>
            </w:r>
          </w:p>
        </w:tc>
        <w:tc>
          <w:tcPr>
            <w:tcW w:w="850" w:type="dxa"/>
            <w:vAlign w:val="center"/>
          </w:tcPr>
          <w:p w14:paraId="6943C731"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683D9C68"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24</w:t>
            </w:r>
          </w:p>
        </w:tc>
        <w:tc>
          <w:tcPr>
            <w:tcW w:w="1411" w:type="dxa"/>
            <w:shd w:val="clear" w:color="auto" w:fill="auto"/>
            <w:vAlign w:val="center"/>
          </w:tcPr>
          <w:p w14:paraId="1EA63A6B"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24</w:t>
            </w:r>
          </w:p>
        </w:tc>
      </w:tr>
      <w:tr w:rsidR="005C5069" w:rsidRPr="00CD453D" w14:paraId="259680B5" w14:textId="77777777" w:rsidTr="00CD453D">
        <w:trPr>
          <w:jc w:val="center"/>
        </w:trPr>
        <w:tc>
          <w:tcPr>
            <w:tcW w:w="2263" w:type="dxa"/>
            <w:shd w:val="clear" w:color="auto" w:fill="auto"/>
            <w:vAlign w:val="center"/>
          </w:tcPr>
          <w:p w14:paraId="4A51A0C7"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Complutense de Madrid</w:t>
            </w:r>
          </w:p>
        </w:tc>
        <w:tc>
          <w:tcPr>
            <w:tcW w:w="1418" w:type="dxa"/>
            <w:shd w:val="clear" w:color="auto" w:fill="auto"/>
            <w:vAlign w:val="center"/>
          </w:tcPr>
          <w:p w14:paraId="3891C10B"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12</w:t>
            </w:r>
          </w:p>
        </w:tc>
        <w:tc>
          <w:tcPr>
            <w:tcW w:w="850" w:type="dxa"/>
            <w:vAlign w:val="center"/>
          </w:tcPr>
          <w:p w14:paraId="4AA7992A"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15</w:t>
            </w:r>
          </w:p>
        </w:tc>
        <w:tc>
          <w:tcPr>
            <w:tcW w:w="851" w:type="dxa"/>
            <w:vAlign w:val="center"/>
          </w:tcPr>
          <w:p w14:paraId="1AABB5C1"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10</w:t>
            </w:r>
          </w:p>
        </w:tc>
        <w:tc>
          <w:tcPr>
            <w:tcW w:w="850" w:type="dxa"/>
            <w:vAlign w:val="center"/>
          </w:tcPr>
          <w:p w14:paraId="48686A41"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5</w:t>
            </w:r>
          </w:p>
        </w:tc>
        <w:tc>
          <w:tcPr>
            <w:tcW w:w="851" w:type="dxa"/>
            <w:vAlign w:val="center"/>
          </w:tcPr>
          <w:p w14:paraId="68C121D8"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30</w:t>
            </w:r>
          </w:p>
        </w:tc>
        <w:tc>
          <w:tcPr>
            <w:tcW w:w="1411" w:type="dxa"/>
            <w:shd w:val="clear" w:color="auto" w:fill="auto"/>
            <w:vAlign w:val="center"/>
          </w:tcPr>
          <w:p w14:paraId="543C3A54"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18</w:t>
            </w:r>
          </w:p>
        </w:tc>
      </w:tr>
      <w:tr w:rsidR="005C5069" w:rsidRPr="00CD453D" w14:paraId="4E56C81A" w14:textId="77777777" w:rsidTr="00CD453D">
        <w:trPr>
          <w:jc w:val="center"/>
        </w:trPr>
        <w:tc>
          <w:tcPr>
            <w:tcW w:w="2263" w:type="dxa"/>
            <w:shd w:val="clear" w:color="auto" w:fill="auto"/>
            <w:vAlign w:val="center"/>
          </w:tcPr>
          <w:p w14:paraId="19D47194"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Córdoba</w:t>
            </w:r>
          </w:p>
        </w:tc>
        <w:tc>
          <w:tcPr>
            <w:tcW w:w="1418" w:type="dxa"/>
            <w:shd w:val="clear" w:color="auto" w:fill="auto"/>
            <w:vAlign w:val="center"/>
          </w:tcPr>
          <w:p w14:paraId="0615FBBB"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20</w:t>
            </w:r>
          </w:p>
        </w:tc>
        <w:tc>
          <w:tcPr>
            <w:tcW w:w="850" w:type="dxa"/>
            <w:vAlign w:val="center"/>
          </w:tcPr>
          <w:p w14:paraId="1466FAEB"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4DB4D5DF"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12</w:t>
            </w:r>
          </w:p>
        </w:tc>
        <w:tc>
          <w:tcPr>
            <w:tcW w:w="850" w:type="dxa"/>
            <w:vAlign w:val="center"/>
          </w:tcPr>
          <w:p w14:paraId="2D7DB74F"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4AEE2FBC"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24</w:t>
            </w:r>
          </w:p>
        </w:tc>
        <w:tc>
          <w:tcPr>
            <w:tcW w:w="1411" w:type="dxa"/>
            <w:shd w:val="clear" w:color="auto" w:fill="auto"/>
            <w:vAlign w:val="center"/>
          </w:tcPr>
          <w:p w14:paraId="2EAA1790"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16</w:t>
            </w:r>
          </w:p>
        </w:tc>
      </w:tr>
      <w:tr w:rsidR="005C5069" w:rsidRPr="00CD453D" w14:paraId="0738DFB1" w14:textId="77777777" w:rsidTr="00CD453D">
        <w:trPr>
          <w:jc w:val="center"/>
        </w:trPr>
        <w:tc>
          <w:tcPr>
            <w:tcW w:w="2263" w:type="dxa"/>
            <w:shd w:val="clear" w:color="auto" w:fill="auto"/>
            <w:vAlign w:val="center"/>
          </w:tcPr>
          <w:p w14:paraId="724770A6"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Extremadura</w:t>
            </w:r>
          </w:p>
        </w:tc>
        <w:tc>
          <w:tcPr>
            <w:tcW w:w="1418" w:type="dxa"/>
            <w:shd w:val="clear" w:color="auto" w:fill="auto"/>
            <w:vAlign w:val="center"/>
          </w:tcPr>
          <w:p w14:paraId="39B97D07"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12</w:t>
            </w:r>
          </w:p>
        </w:tc>
        <w:tc>
          <w:tcPr>
            <w:tcW w:w="850" w:type="dxa"/>
            <w:vAlign w:val="center"/>
          </w:tcPr>
          <w:p w14:paraId="1BFE3E9A"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12</w:t>
            </w:r>
          </w:p>
        </w:tc>
        <w:tc>
          <w:tcPr>
            <w:tcW w:w="851" w:type="dxa"/>
            <w:vAlign w:val="center"/>
          </w:tcPr>
          <w:p w14:paraId="03B4513F"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12</w:t>
            </w:r>
          </w:p>
        </w:tc>
        <w:tc>
          <w:tcPr>
            <w:tcW w:w="850" w:type="dxa"/>
            <w:vAlign w:val="center"/>
          </w:tcPr>
          <w:p w14:paraId="379D9350"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33292B18"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30</w:t>
            </w:r>
          </w:p>
        </w:tc>
        <w:tc>
          <w:tcPr>
            <w:tcW w:w="1411" w:type="dxa"/>
            <w:shd w:val="clear" w:color="auto" w:fill="auto"/>
            <w:vAlign w:val="center"/>
          </w:tcPr>
          <w:p w14:paraId="4D67190D"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18</w:t>
            </w:r>
          </w:p>
        </w:tc>
      </w:tr>
      <w:tr w:rsidR="005C5069" w:rsidRPr="00CD453D" w14:paraId="711FAF0A" w14:textId="77777777" w:rsidTr="00CD453D">
        <w:trPr>
          <w:jc w:val="center"/>
        </w:trPr>
        <w:tc>
          <w:tcPr>
            <w:tcW w:w="2263" w:type="dxa"/>
            <w:shd w:val="clear" w:color="auto" w:fill="auto"/>
            <w:vAlign w:val="center"/>
          </w:tcPr>
          <w:p w14:paraId="2BEA4638"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Granada</w:t>
            </w:r>
          </w:p>
        </w:tc>
        <w:tc>
          <w:tcPr>
            <w:tcW w:w="1418" w:type="dxa"/>
            <w:shd w:val="clear" w:color="auto" w:fill="auto"/>
            <w:vAlign w:val="center"/>
          </w:tcPr>
          <w:p w14:paraId="55949FAB"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20</w:t>
            </w:r>
          </w:p>
        </w:tc>
        <w:tc>
          <w:tcPr>
            <w:tcW w:w="850" w:type="dxa"/>
            <w:vAlign w:val="center"/>
          </w:tcPr>
          <w:p w14:paraId="41BE4E58"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3CD05D09"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12</w:t>
            </w:r>
          </w:p>
        </w:tc>
        <w:tc>
          <w:tcPr>
            <w:tcW w:w="850" w:type="dxa"/>
            <w:vAlign w:val="center"/>
          </w:tcPr>
          <w:p w14:paraId="208DFEA9"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026F4B73"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24</w:t>
            </w:r>
          </w:p>
        </w:tc>
        <w:tc>
          <w:tcPr>
            <w:tcW w:w="1411" w:type="dxa"/>
            <w:shd w:val="clear" w:color="auto" w:fill="auto"/>
            <w:vAlign w:val="center"/>
          </w:tcPr>
          <w:p w14:paraId="02AE3B25"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16</w:t>
            </w:r>
          </w:p>
        </w:tc>
      </w:tr>
      <w:tr w:rsidR="005C5069" w:rsidRPr="00CD453D" w14:paraId="6D0AE50C" w14:textId="77777777" w:rsidTr="00CD453D">
        <w:trPr>
          <w:jc w:val="center"/>
        </w:trPr>
        <w:tc>
          <w:tcPr>
            <w:tcW w:w="2263" w:type="dxa"/>
            <w:shd w:val="clear" w:color="auto" w:fill="auto"/>
            <w:vAlign w:val="center"/>
          </w:tcPr>
          <w:p w14:paraId="678B1719"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Islas Bal</w:t>
            </w:r>
            <w:r w:rsidRPr="00CD453D">
              <w:rPr>
                <w:rFonts w:ascii="Times New Roman" w:hAnsi="Times New Roman" w:cs="Times New Roman"/>
              </w:rPr>
              <w:t>ea</w:t>
            </w:r>
            <w:r w:rsidRPr="00CD453D">
              <w:rPr>
                <w:rFonts w:ascii="Times New Roman" w:hAnsi="Times New Roman" w:cs="Times New Roman"/>
                <w:color w:val="000000"/>
              </w:rPr>
              <w:t>res</w:t>
            </w:r>
          </w:p>
        </w:tc>
        <w:tc>
          <w:tcPr>
            <w:tcW w:w="1418" w:type="dxa"/>
            <w:shd w:val="clear" w:color="auto" w:fill="auto"/>
            <w:vAlign w:val="center"/>
          </w:tcPr>
          <w:p w14:paraId="5E02182F"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15</w:t>
            </w:r>
          </w:p>
        </w:tc>
        <w:tc>
          <w:tcPr>
            <w:tcW w:w="850" w:type="dxa"/>
            <w:vAlign w:val="center"/>
          </w:tcPr>
          <w:p w14:paraId="1166B7D1"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8</w:t>
            </w:r>
          </w:p>
        </w:tc>
        <w:tc>
          <w:tcPr>
            <w:tcW w:w="851" w:type="dxa"/>
            <w:vAlign w:val="center"/>
          </w:tcPr>
          <w:p w14:paraId="2CA68041"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15</w:t>
            </w:r>
          </w:p>
        </w:tc>
        <w:tc>
          <w:tcPr>
            <w:tcW w:w="850" w:type="dxa"/>
            <w:vAlign w:val="center"/>
          </w:tcPr>
          <w:p w14:paraId="0A93015A"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w:t>
            </w:r>
          </w:p>
        </w:tc>
        <w:tc>
          <w:tcPr>
            <w:tcW w:w="851" w:type="dxa"/>
            <w:vAlign w:val="center"/>
          </w:tcPr>
          <w:p w14:paraId="44A794F7"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25</w:t>
            </w:r>
          </w:p>
        </w:tc>
        <w:tc>
          <w:tcPr>
            <w:tcW w:w="1411" w:type="dxa"/>
            <w:shd w:val="clear" w:color="auto" w:fill="auto"/>
            <w:vAlign w:val="center"/>
          </w:tcPr>
          <w:p w14:paraId="6C0A9534"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20</w:t>
            </w:r>
          </w:p>
        </w:tc>
      </w:tr>
      <w:tr w:rsidR="005C5069" w:rsidRPr="00CD453D" w14:paraId="0CC9DBCE" w14:textId="77777777" w:rsidTr="00CD453D">
        <w:trPr>
          <w:jc w:val="center"/>
        </w:trPr>
        <w:tc>
          <w:tcPr>
            <w:tcW w:w="2263" w:type="dxa"/>
            <w:shd w:val="clear" w:color="auto" w:fill="auto"/>
            <w:vAlign w:val="center"/>
          </w:tcPr>
          <w:p w14:paraId="5601F29F"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La Laguna</w:t>
            </w:r>
          </w:p>
        </w:tc>
        <w:tc>
          <w:tcPr>
            <w:tcW w:w="1418" w:type="dxa"/>
            <w:shd w:val="clear" w:color="auto" w:fill="auto"/>
            <w:vAlign w:val="center"/>
          </w:tcPr>
          <w:p w14:paraId="23C5A1F1"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15</w:t>
            </w:r>
          </w:p>
        </w:tc>
        <w:tc>
          <w:tcPr>
            <w:tcW w:w="850" w:type="dxa"/>
            <w:vAlign w:val="center"/>
          </w:tcPr>
          <w:p w14:paraId="6FE26EC5"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5CC05BB3"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12</w:t>
            </w:r>
          </w:p>
        </w:tc>
        <w:tc>
          <w:tcPr>
            <w:tcW w:w="850" w:type="dxa"/>
            <w:vAlign w:val="center"/>
          </w:tcPr>
          <w:p w14:paraId="5A8ABDAA"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179B0238"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24</w:t>
            </w:r>
          </w:p>
        </w:tc>
        <w:tc>
          <w:tcPr>
            <w:tcW w:w="1411" w:type="dxa"/>
            <w:shd w:val="clear" w:color="auto" w:fill="auto"/>
            <w:vAlign w:val="center"/>
          </w:tcPr>
          <w:p w14:paraId="30B0E18E"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21</w:t>
            </w:r>
          </w:p>
        </w:tc>
      </w:tr>
      <w:tr w:rsidR="005C5069" w:rsidRPr="00CD453D" w14:paraId="7EDD340C" w14:textId="77777777" w:rsidTr="00CD453D">
        <w:trPr>
          <w:jc w:val="center"/>
        </w:trPr>
        <w:tc>
          <w:tcPr>
            <w:tcW w:w="2263" w:type="dxa"/>
            <w:shd w:val="clear" w:color="auto" w:fill="auto"/>
            <w:vAlign w:val="center"/>
          </w:tcPr>
          <w:p w14:paraId="370231CC"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La Rioja</w:t>
            </w:r>
          </w:p>
        </w:tc>
        <w:tc>
          <w:tcPr>
            <w:tcW w:w="1418" w:type="dxa"/>
            <w:shd w:val="clear" w:color="auto" w:fill="auto"/>
            <w:vAlign w:val="center"/>
          </w:tcPr>
          <w:p w14:paraId="6A3D2F48"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13,5</w:t>
            </w:r>
          </w:p>
        </w:tc>
        <w:tc>
          <w:tcPr>
            <w:tcW w:w="850" w:type="dxa"/>
            <w:vAlign w:val="center"/>
          </w:tcPr>
          <w:p w14:paraId="484BC4A2"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1DC34EC6"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15</w:t>
            </w:r>
          </w:p>
        </w:tc>
        <w:tc>
          <w:tcPr>
            <w:tcW w:w="850" w:type="dxa"/>
            <w:vAlign w:val="center"/>
          </w:tcPr>
          <w:p w14:paraId="68B1C630"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070D0B7D"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27</w:t>
            </w:r>
          </w:p>
        </w:tc>
        <w:tc>
          <w:tcPr>
            <w:tcW w:w="1411" w:type="dxa"/>
            <w:shd w:val="clear" w:color="auto" w:fill="auto"/>
            <w:vAlign w:val="center"/>
          </w:tcPr>
          <w:p w14:paraId="1A7E6B0B"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19,5</w:t>
            </w:r>
          </w:p>
        </w:tc>
      </w:tr>
      <w:tr w:rsidR="005C5069" w:rsidRPr="00CD453D" w14:paraId="058E2A9C" w14:textId="77777777" w:rsidTr="00CD453D">
        <w:trPr>
          <w:jc w:val="center"/>
        </w:trPr>
        <w:tc>
          <w:tcPr>
            <w:tcW w:w="2263" w:type="dxa"/>
            <w:shd w:val="clear" w:color="auto" w:fill="auto"/>
            <w:vAlign w:val="center"/>
          </w:tcPr>
          <w:p w14:paraId="0722B343"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Murcia</w:t>
            </w:r>
          </w:p>
        </w:tc>
        <w:tc>
          <w:tcPr>
            <w:tcW w:w="1418" w:type="dxa"/>
            <w:shd w:val="clear" w:color="auto" w:fill="auto"/>
            <w:vAlign w:val="center"/>
          </w:tcPr>
          <w:p w14:paraId="5943D167"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15</w:t>
            </w:r>
          </w:p>
        </w:tc>
        <w:tc>
          <w:tcPr>
            <w:tcW w:w="850" w:type="dxa"/>
            <w:vAlign w:val="center"/>
          </w:tcPr>
          <w:p w14:paraId="19C541E0"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8</w:t>
            </w:r>
          </w:p>
        </w:tc>
        <w:tc>
          <w:tcPr>
            <w:tcW w:w="851" w:type="dxa"/>
            <w:vAlign w:val="center"/>
          </w:tcPr>
          <w:p w14:paraId="3F7CDF9A"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15</w:t>
            </w:r>
          </w:p>
        </w:tc>
        <w:tc>
          <w:tcPr>
            <w:tcW w:w="850" w:type="dxa"/>
            <w:vAlign w:val="center"/>
          </w:tcPr>
          <w:p w14:paraId="349AFDBF"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4</w:t>
            </w:r>
          </w:p>
        </w:tc>
        <w:tc>
          <w:tcPr>
            <w:tcW w:w="851" w:type="dxa"/>
            <w:vAlign w:val="center"/>
          </w:tcPr>
          <w:p w14:paraId="39056A52"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27</w:t>
            </w:r>
          </w:p>
        </w:tc>
        <w:tc>
          <w:tcPr>
            <w:tcW w:w="1411" w:type="dxa"/>
            <w:shd w:val="clear" w:color="auto" w:fill="auto"/>
            <w:vAlign w:val="center"/>
          </w:tcPr>
          <w:p w14:paraId="1FCC8EC7"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18</w:t>
            </w:r>
          </w:p>
        </w:tc>
      </w:tr>
      <w:tr w:rsidR="005C5069" w:rsidRPr="00CD453D" w14:paraId="3B70DE07" w14:textId="77777777" w:rsidTr="00CD453D">
        <w:trPr>
          <w:jc w:val="center"/>
        </w:trPr>
        <w:tc>
          <w:tcPr>
            <w:tcW w:w="2263" w:type="dxa"/>
            <w:shd w:val="clear" w:color="auto" w:fill="auto"/>
            <w:vAlign w:val="center"/>
          </w:tcPr>
          <w:p w14:paraId="3A054CA2"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Oviedo</w:t>
            </w:r>
          </w:p>
        </w:tc>
        <w:tc>
          <w:tcPr>
            <w:tcW w:w="1418" w:type="dxa"/>
            <w:shd w:val="clear" w:color="auto" w:fill="auto"/>
            <w:vAlign w:val="center"/>
          </w:tcPr>
          <w:p w14:paraId="7859B1E6"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rPr>
              <w:t>15</w:t>
            </w:r>
          </w:p>
        </w:tc>
        <w:tc>
          <w:tcPr>
            <w:tcW w:w="850" w:type="dxa"/>
            <w:vAlign w:val="center"/>
          </w:tcPr>
          <w:p w14:paraId="240AB699"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rPr>
              <w:t>8</w:t>
            </w:r>
          </w:p>
        </w:tc>
        <w:tc>
          <w:tcPr>
            <w:tcW w:w="851" w:type="dxa"/>
            <w:vAlign w:val="center"/>
          </w:tcPr>
          <w:p w14:paraId="4A0BD0BE"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rPr>
              <w:t>13</w:t>
            </w:r>
          </w:p>
        </w:tc>
        <w:tc>
          <w:tcPr>
            <w:tcW w:w="850" w:type="dxa"/>
            <w:vAlign w:val="center"/>
          </w:tcPr>
          <w:p w14:paraId="4253D59A"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rPr>
              <w:t>5</w:t>
            </w:r>
          </w:p>
        </w:tc>
        <w:tc>
          <w:tcPr>
            <w:tcW w:w="851" w:type="dxa"/>
            <w:vAlign w:val="center"/>
          </w:tcPr>
          <w:p w14:paraId="253640DA"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rPr>
              <w:t>26</w:t>
            </w:r>
          </w:p>
        </w:tc>
        <w:tc>
          <w:tcPr>
            <w:tcW w:w="1411" w:type="dxa"/>
            <w:shd w:val="clear" w:color="auto" w:fill="auto"/>
            <w:vAlign w:val="center"/>
          </w:tcPr>
          <w:p w14:paraId="2D629EBF"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19</w:t>
            </w:r>
          </w:p>
        </w:tc>
      </w:tr>
      <w:tr w:rsidR="005C5069" w:rsidRPr="00CD453D" w14:paraId="7021FE0A" w14:textId="77777777" w:rsidTr="00CD453D">
        <w:trPr>
          <w:jc w:val="center"/>
        </w:trPr>
        <w:tc>
          <w:tcPr>
            <w:tcW w:w="2263" w:type="dxa"/>
            <w:shd w:val="clear" w:color="auto" w:fill="auto"/>
            <w:vAlign w:val="center"/>
          </w:tcPr>
          <w:p w14:paraId="740287CF"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rPr>
            </w:pPr>
            <w:r w:rsidRPr="00CD453D">
              <w:rPr>
                <w:rFonts w:ascii="Times New Roman" w:hAnsi="Times New Roman" w:cs="Times New Roman"/>
              </w:rPr>
              <w:lastRenderedPageBreak/>
              <w:t>Pública de Navarra</w:t>
            </w:r>
          </w:p>
        </w:tc>
        <w:tc>
          <w:tcPr>
            <w:tcW w:w="1418" w:type="dxa"/>
            <w:shd w:val="clear" w:color="auto" w:fill="auto"/>
            <w:vAlign w:val="center"/>
          </w:tcPr>
          <w:p w14:paraId="2021052A"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rPr>
            </w:pPr>
            <w:r w:rsidRPr="00CD453D">
              <w:rPr>
                <w:rFonts w:ascii="Times New Roman" w:hAnsi="Times New Roman" w:cs="Times New Roman"/>
              </w:rPr>
              <w:t>14</w:t>
            </w:r>
          </w:p>
        </w:tc>
        <w:tc>
          <w:tcPr>
            <w:tcW w:w="850" w:type="dxa"/>
            <w:vAlign w:val="center"/>
          </w:tcPr>
          <w:p w14:paraId="2DCFE491"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rPr>
            </w:pPr>
            <w:r w:rsidRPr="00CD453D">
              <w:rPr>
                <w:rFonts w:ascii="Times New Roman" w:hAnsi="Times New Roman" w:cs="Times New Roman"/>
              </w:rPr>
              <w:t>12</w:t>
            </w:r>
          </w:p>
        </w:tc>
        <w:tc>
          <w:tcPr>
            <w:tcW w:w="851" w:type="dxa"/>
            <w:vAlign w:val="center"/>
          </w:tcPr>
          <w:p w14:paraId="1B804D05"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rPr>
            </w:pPr>
            <w:r w:rsidRPr="00CD453D">
              <w:rPr>
                <w:rFonts w:ascii="Times New Roman" w:hAnsi="Times New Roman" w:cs="Times New Roman"/>
              </w:rPr>
              <w:t>12</w:t>
            </w:r>
          </w:p>
        </w:tc>
        <w:tc>
          <w:tcPr>
            <w:tcW w:w="850" w:type="dxa"/>
            <w:vAlign w:val="center"/>
          </w:tcPr>
          <w:p w14:paraId="24177117"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rPr>
            </w:pPr>
            <w:r w:rsidRPr="00CD453D">
              <w:rPr>
                <w:rFonts w:ascii="Times New Roman" w:hAnsi="Times New Roman" w:cs="Times New Roman"/>
              </w:rPr>
              <w:t>6</w:t>
            </w:r>
          </w:p>
        </w:tc>
        <w:tc>
          <w:tcPr>
            <w:tcW w:w="851" w:type="dxa"/>
            <w:vAlign w:val="center"/>
          </w:tcPr>
          <w:p w14:paraId="325A42A4"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rPr>
            </w:pPr>
            <w:r w:rsidRPr="00CD453D">
              <w:rPr>
                <w:rFonts w:ascii="Times New Roman" w:hAnsi="Times New Roman" w:cs="Times New Roman"/>
              </w:rPr>
              <w:t>30</w:t>
            </w:r>
          </w:p>
        </w:tc>
        <w:tc>
          <w:tcPr>
            <w:tcW w:w="1411" w:type="dxa"/>
            <w:shd w:val="clear" w:color="auto" w:fill="auto"/>
            <w:vAlign w:val="center"/>
          </w:tcPr>
          <w:p w14:paraId="4BBB6BC3"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rPr>
              <w:t>16</w:t>
            </w:r>
          </w:p>
        </w:tc>
      </w:tr>
      <w:tr w:rsidR="005C5069" w:rsidRPr="00CD453D" w14:paraId="5DC16FA6" w14:textId="77777777" w:rsidTr="00CD453D">
        <w:trPr>
          <w:jc w:val="center"/>
        </w:trPr>
        <w:tc>
          <w:tcPr>
            <w:tcW w:w="2263" w:type="dxa"/>
            <w:shd w:val="clear" w:color="auto" w:fill="auto"/>
            <w:vAlign w:val="center"/>
          </w:tcPr>
          <w:p w14:paraId="631BBC8B"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Salamanca</w:t>
            </w:r>
          </w:p>
        </w:tc>
        <w:tc>
          <w:tcPr>
            <w:tcW w:w="1418" w:type="dxa"/>
            <w:shd w:val="clear" w:color="auto" w:fill="auto"/>
            <w:vAlign w:val="center"/>
          </w:tcPr>
          <w:p w14:paraId="3A1D0487"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15</w:t>
            </w:r>
          </w:p>
        </w:tc>
        <w:tc>
          <w:tcPr>
            <w:tcW w:w="850" w:type="dxa"/>
            <w:vAlign w:val="center"/>
          </w:tcPr>
          <w:p w14:paraId="06437554"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64F8D987"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15</w:t>
            </w:r>
          </w:p>
        </w:tc>
        <w:tc>
          <w:tcPr>
            <w:tcW w:w="850" w:type="dxa"/>
            <w:vAlign w:val="center"/>
          </w:tcPr>
          <w:p w14:paraId="39BDEADB"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45E7B318"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27</w:t>
            </w:r>
          </w:p>
        </w:tc>
        <w:tc>
          <w:tcPr>
            <w:tcW w:w="1411" w:type="dxa"/>
            <w:shd w:val="clear" w:color="auto" w:fill="auto"/>
            <w:vAlign w:val="center"/>
          </w:tcPr>
          <w:p w14:paraId="64CE69E5"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18</w:t>
            </w:r>
          </w:p>
        </w:tc>
      </w:tr>
      <w:tr w:rsidR="005C5069" w:rsidRPr="00CD453D" w14:paraId="775BF857" w14:textId="77777777" w:rsidTr="00CD453D">
        <w:trPr>
          <w:jc w:val="center"/>
        </w:trPr>
        <w:tc>
          <w:tcPr>
            <w:tcW w:w="2263" w:type="dxa"/>
            <w:shd w:val="clear" w:color="auto" w:fill="auto"/>
            <w:vAlign w:val="center"/>
          </w:tcPr>
          <w:p w14:paraId="60E51E00"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Sevilla</w:t>
            </w:r>
          </w:p>
        </w:tc>
        <w:tc>
          <w:tcPr>
            <w:tcW w:w="1418" w:type="dxa"/>
            <w:shd w:val="clear" w:color="auto" w:fill="auto"/>
            <w:vAlign w:val="center"/>
          </w:tcPr>
          <w:p w14:paraId="50BCD904"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20</w:t>
            </w:r>
          </w:p>
        </w:tc>
        <w:tc>
          <w:tcPr>
            <w:tcW w:w="850" w:type="dxa"/>
            <w:vAlign w:val="center"/>
          </w:tcPr>
          <w:p w14:paraId="77DE4152"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247CE2F2"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12</w:t>
            </w:r>
          </w:p>
        </w:tc>
        <w:tc>
          <w:tcPr>
            <w:tcW w:w="850" w:type="dxa"/>
            <w:vAlign w:val="center"/>
          </w:tcPr>
          <w:p w14:paraId="661B3700"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3D19FA14"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24</w:t>
            </w:r>
          </w:p>
        </w:tc>
        <w:tc>
          <w:tcPr>
            <w:tcW w:w="1411" w:type="dxa"/>
            <w:shd w:val="clear" w:color="auto" w:fill="auto"/>
            <w:vAlign w:val="center"/>
          </w:tcPr>
          <w:p w14:paraId="289BAD81"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16</w:t>
            </w:r>
          </w:p>
        </w:tc>
      </w:tr>
      <w:tr w:rsidR="005C5069" w:rsidRPr="00CD453D" w14:paraId="17B3181A" w14:textId="77777777" w:rsidTr="00CD453D">
        <w:trPr>
          <w:jc w:val="center"/>
        </w:trPr>
        <w:tc>
          <w:tcPr>
            <w:tcW w:w="2263" w:type="dxa"/>
            <w:shd w:val="clear" w:color="auto" w:fill="auto"/>
            <w:vAlign w:val="center"/>
          </w:tcPr>
          <w:p w14:paraId="1E531094"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UNED</w:t>
            </w:r>
          </w:p>
        </w:tc>
        <w:tc>
          <w:tcPr>
            <w:tcW w:w="1418" w:type="dxa"/>
            <w:shd w:val="clear" w:color="auto" w:fill="auto"/>
            <w:vAlign w:val="center"/>
          </w:tcPr>
          <w:p w14:paraId="73AFB1B0"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15</w:t>
            </w:r>
          </w:p>
        </w:tc>
        <w:tc>
          <w:tcPr>
            <w:tcW w:w="850" w:type="dxa"/>
            <w:vAlign w:val="center"/>
          </w:tcPr>
          <w:p w14:paraId="3640A86C"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10</w:t>
            </w:r>
          </w:p>
        </w:tc>
        <w:tc>
          <w:tcPr>
            <w:tcW w:w="851" w:type="dxa"/>
            <w:vAlign w:val="center"/>
          </w:tcPr>
          <w:p w14:paraId="6989F7E5"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12</w:t>
            </w:r>
          </w:p>
        </w:tc>
        <w:tc>
          <w:tcPr>
            <w:tcW w:w="850" w:type="dxa"/>
            <w:vAlign w:val="center"/>
          </w:tcPr>
          <w:p w14:paraId="6CF80306"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5</w:t>
            </w:r>
          </w:p>
        </w:tc>
        <w:tc>
          <w:tcPr>
            <w:tcW w:w="851" w:type="dxa"/>
            <w:vAlign w:val="center"/>
          </w:tcPr>
          <w:p w14:paraId="01990088"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27</w:t>
            </w:r>
          </w:p>
        </w:tc>
        <w:tc>
          <w:tcPr>
            <w:tcW w:w="1411" w:type="dxa"/>
            <w:shd w:val="clear" w:color="auto" w:fill="auto"/>
            <w:vAlign w:val="center"/>
          </w:tcPr>
          <w:p w14:paraId="65B624EA"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18</w:t>
            </w:r>
          </w:p>
        </w:tc>
      </w:tr>
      <w:tr w:rsidR="005C5069" w:rsidRPr="00CD453D" w14:paraId="2BBDFE00" w14:textId="77777777" w:rsidTr="00CD453D">
        <w:trPr>
          <w:jc w:val="center"/>
        </w:trPr>
        <w:tc>
          <w:tcPr>
            <w:tcW w:w="2263" w:type="dxa"/>
            <w:shd w:val="clear" w:color="auto" w:fill="auto"/>
            <w:vAlign w:val="center"/>
          </w:tcPr>
          <w:p w14:paraId="4CB05C62"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Valencia</w:t>
            </w:r>
          </w:p>
        </w:tc>
        <w:tc>
          <w:tcPr>
            <w:tcW w:w="1418" w:type="dxa"/>
            <w:shd w:val="clear" w:color="auto" w:fill="auto"/>
            <w:vAlign w:val="center"/>
          </w:tcPr>
          <w:p w14:paraId="24D50B9F"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16</w:t>
            </w:r>
          </w:p>
        </w:tc>
        <w:tc>
          <w:tcPr>
            <w:tcW w:w="850" w:type="dxa"/>
            <w:vAlign w:val="center"/>
          </w:tcPr>
          <w:p w14:paraId="1C2B9B72"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4FF71F3B"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16</w:t>
            </w:r>
          </w:p>
        </w:tc>
        <w:tc>
          <w:tcPr>
            <w:tcW w:w="850" w:type="dxa"/>
            <w:vAlign w:val="center"/>
          </w:tcPr>
          <w:p w14:paraId="56760AD3"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098A2C2E"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28</w:t>
            </w:r>
          </w:p>
        </w:tc>
        <w:tc>
          <w:tcPr>
            <w:tcW w:w="1411" w:type="dxa"/>
            <w:shd w:val="clear" w:color="auto" w:fill="auto"/>
            <w:vAlign w:val="center"/>
          </w:tcPr>
          <w:p w14:paraId="14CD86ED"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16</w:t>
            </w:r>
          </w:p>
        </w:tc>
      </w:tr>
      <w:tr w:rsidR="005C5069" w:rsidRPr="00CD453D" w14:paraId="3762527C" w14:textId="77777777" w:rsidTr="00CD453D">
        <w:trPr>
          <w:jc w:val="center"/>
        </w:trPr>
        <w:tc>
          <w:tcPr>
            <w:tcW w:w="2263" w:type="dxa"/>
            <w:shd w:val="clear" w:color="auto" w:fill="auto"/>
            <w:vAlign w:val="center"/>
          </w:tcPr>
          <w:p w14:paraId="32C61FEA"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Valladolid</w:t>
            </w:r>
          </w:p>
        </w:tc>
        <w:tc>
          <w:tcPr>
            <w:tcW w:w="1418" w:type="dxa"/>
            <w:shd w:val="clear" w:color="auto" w:fill="auto"/>
            <w:vAlign w:val="center"/>
          </w:tcPr>
          <w:p w14:paraId="75C32CA5"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12</w:t>
            </w:r>
          </w:p>
        </w:tc>
        <w:tc>
          <w:tcPr>
            <w:tcW w:w="850" w:type="dxa"/>
            <w:vAlign w:val="center"/>
          </w:tcPr>
          <w:p w14:paraId="5B94B192"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14</w:t>
            </w:r>
          </w:p>
        </w:tc>
        <w:tc>
          <w:tcPr>
            <w:tcW w:w="851" w:type="dxa"/>
            <w:vAlign w:val="center"/>
          </w:tcPr>
          <w:p w14:paraId="726D2326"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12</w:t>
            </w:r>
          </w:p>
        </w:tc>
        <w:tc>
          <w:tcPr>
            <w:tcW w:w="850" w:type="dxa"/>
            <w:vAlign w:val="center"/>
          </w:tcPr>
          <w:p w14:paraId="5FEA6555"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3E3E69E3"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32</w:t>
            </w:r>
          </w:p>
        </w:tc>
        <w:tc>
          <w:tcPr>
            <w:tcW w:w="1411" w:type="dxa"/>
            <w:shd w:val="clear" w:color="auto" w:fill="auto"/>
            <w:vAlign w:val="center"/>
          </w:tcPr>
          <w:p w14:paraId="7B70F48A"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16</w:t>
            </w:r>
          </w:p>
        </w:tc>
      </w:tr>
      <w:tr w:rsidR="005C5069" w:rsidRPr="00CD453D" w14:paraId="2C4EFEEC" w14:textId="77777777" w:rsidTr="00CD453D">
        <w:trPr>
          <w:jc w:val="center"/>
        </w:trPr>
        <w:tc>
          <w:tcPr>
            <w:tcW w:w="2263" w:type="dxa"/>
            <w:shd w:val="clear" w:color="auto" w:fill="auto"/>
            <w:vAlign w:val="center"/>
          </w:tcPr>
          <w:p w14:paraId="52033EBB"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Zaragoza</w:t>
            </w:r>
          </w:p>
        </w:tc>
        <w:tc>
          <w:tcPr>
            <w:tcW w:w="1418" w:type="dxa"/>
            <w:shd w:val="clear" w:color="auto" w:fill="auto"/>
            <w:vAlign w:val="center"/>
          </w:tcPr>
          <w:p w14:paraId="618A640C"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20</w:t>
            </w:r>
          </w:p>
        </w:tc>
        <w:tc>
          <w:tcPr>
            <w:tcW w:w="850" w:type="dxa"/>
            <w:vAlign w:val="center"/>
          </w:tcPr>
          <w:p w14:paraId="152D1194"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6</w:t>
            </w:r>
          </w:p>
        </w:tc>
        <w:tc>
          <w:tcPr>
            <w:tcW w:w="851" w:type="dxa"/>
            <w:vAlign w:val="center"/>
          </w:tcPr>
          <w:p w14:paraId="7D081FD9"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14</w:t>
            </w:r>
          </w:p>
        </w:tc>
        <w:tc>
          <w:tcPr>
            <w:tcW w:w="850" w:type="dxa"/>
            <w:vAlign w:val="center"/>
          </w:tcPr>
          <w:p w14:paraId="3BBAB3CE"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4</w:t>
            </w:r>
          </w:p>
        </w:tc>
        <w:tc>
          <w:tcPr>
            <w:tcW w:w="851" w:type="dxa"/>
            <w:vAlign w:val="center"/>
          </w:tcPr>
          <w:p w14:paraId="0490B5F0"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24</w:t>
            </w:r>
          </w:p>
        </w:tc>
        <w:tc>
          <w:tcPr>
            <w:tcW w:w="1411" w:type="dxa"/>
            <w:shd w:val="clear" w:color="auto" w:fill="auto"/>
            <w:vAlign w:val="center"/>
          </w:tcPr>
          <w:p w14:paraId="3EA07255" w14:textId="77777777" w:rsidR="005C5069" w:rsidRPr="00CD453D" w:rsidRDefault="005E6590" w:rsidP="00CD453D">
            <w:pPr>
              <w:pBdr>
                <w:top w:val="nil"/>
                <w:left w:val="nil"/>
                <w:bottom w:val="nil"/>
                <w:right w:val="nil"/>
                <w:between w:val="nil"/>
              </w:pBdr>
              <w:spacing w:after="80"/>
              <w:jc w:val="center"/>
              <w:rPr>
                <w:rFonts w:ascii="Times New Roman" w:hAnsi="Times New Roman" w:cs="Times New Roman"/>
                <w:color w:val="000000"/>
              </w:rPr>
            </w:pPr>
            <w:r w:rsidRPr="00CD453D">
              <w:rPr>
                <w:rFonts w:ascii="Times New Roman" w:hAnsi="Times New Roman" w:cs="Times New Roman"/>
                <w:color w:val="000000"/>
              </w:rPr>
              <w:t>16</w:t>
            </w:r>
          </w:p>
        </w:tc>
      </w:tr>
    </w:tbl>
    <w:p w14:paraId="6D96679E" w14:textId="77777777" w:rsidR="005C5069" w:rsidRPr="00CD453D" w:rsidRDefault="005E6590" w:rsidP="003B466F">
      <w:pPr>
        <w:jc w:val="both"/>
        <w:rPr>
          <w:rFonts w:ascii="Times New Roman" w:hAnsi="Times New Roman" w:cs="Times New Roman"/>
        </w:rPr>
      </w:pPr>
      <w:r w:rsidRPr="00CD453D">
        <w:rPr>
          <w:rFonts w:ascii="Times New Roman" w:hAnsi="Times New Roman" w:cs="Times New Roman"/>
        </w:rPr>
        <w:t>Nota: CFM corresponde a Complementos para la Formación disciplinar en Matemáticas, AEM a Aprendizaje y Enseñanza de las Matemáticas y IDIIE a Innovación Docente e Iniciación a la Investigación Educativa en Matemáticas.</w:t>
      </w:r>
    </w:p>
    <w:p w14:paraId="3E1207F8"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La Tabla 2 refleja la variabilidad del número de créditos entre unos módulos y otros en diferentes universidades españolas en función de a qué módulo o módulos hayan asignado los 8 ECTS a mayores de los 52 ya fijados. El módulo genérico fluctúa entre los 12 ECTS (por ejemplo, en el máster interuniversitario de Cataluña o en la Universidad Complutense de Madrid) y los 20 ECTS (en las universidades de Córdoba, Granada, Sevilla o Zaragoza), lo que hace que la formación genérica de tipo psicológico, pedagógico y sociológico tenga una presencia mucho mayor en estas últimas universidades. </w:t>
      </w:r>
    </w:p>
    <w:p w14:paraId="54C87A67"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En el módulo práctico, compuesto por las prácticas de especialidad y el Trabajo Fin de Máster, también encontramos una diferencia de hasta 8 ECTS en la carga crediticia del módulo según las universidades. Dado que el Trabajo Fin de Máster es de 6 ECTS en todas las universidades presentadas en la Tabla 2, la diferencia fundamental se sitúa en la carga de créditos de las prácticas de especialidad, vinculada sobre todo con su duración. Varias de las universidades se sitúan en el mínimo de 16 ECTS del módulo, con 10 ECTS para las prácticas de especialidad (ejemplos son las universidades de Alicante, Granada, Pública de Navarra, Valencia o Valladolid); mientras que en el extremo opuesto se sitúa la Universidad de Castilla – la Mancha, con 24 ECTS en el módulo práctico, de los que 18 corresponden a las prácticas de especialidad. Así, el desequilibrio resulta importante entre unas universidades y otras porque el número de créditos de las prácticas de especialidad, traducido en gran medida en el número de horas de práctica que tienen estos estudiantes en la formación inicial, puede llegar a ser casi el doble en unos casos frente a otros. No obstante, la imprescindible coordinación en este módulo con las Consejerías de Educación de cada Comunidad Autónoma y con los centros educativos puede influir también en la duración y características de este módulo. </w:t>
      </w:r>
    </w:p>
    <w:p w14:paraId="2A0C9BEF"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Si nos centramos en el módulo específico, más vinculado directamente con la didáctica de la especialidad, observamos en global, de nuevo, una fluctuación de hasta 8 ECTS. Hay universidades en las que este módulo específico tiene el mínimo marcado de 24 ECTS (ejemplos son las universidades de Alcalá de Henares, Cantabria, La Laguna o Sevilla), mientras que en el extremo opuesto se sitúa la Universidad de Valladolid, donde este módulo tiene 32 ECTS. En las Universidades de Alicante, Complutense de Madrid o de Extremadura el módulo consta de 30 ECTS, por lo que también sitúan aquí el grueso de ECTS que cada universidad puede colocar de forma autónoma. Por tanto, y al igual que sucede en los demás módulos, hay universidades que apuestan por un mayor desarrollo de la formación de tipo didáctico frente a los otros dos módulos. </w:t>
      </w:r>
    </w:p>
    <w:p w14:paraId="40C6E37C"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lastRenderedPageBreak/>
        <w:t xml:space="preserve">No obstante, dentro de los números globales de este módulo es importante, desde el punto de vista del área de Didáctica de la Matemática, analizar cómo se distribuye la carga de créditos ECTS en cada una de las tres áreas: Complementos para la Formación disciplinar en Matemáticas (CFM), Aprendizaje y Enseñanza de las Matemáticas (AEM) e Innovación Docente e Iniciación a la Investigación Educativa en Matemáticas (IDIIE). Las dos últimas áreas tienen una mayor vinculación con la formación de tipo didáctico, mientras que los complementos para la formación disciplinar están, a priori, más vinculados con la formación en la propia disciplina matemática. Así, la forma de distribuir los créditos ECTS entre estas tres áreas tiene influencia en las oportunidades de aprendizaje y desarrollo de los conocimientos y competencias en la didáctica específica que ofrece el plan de formación inicial. </w:t>
      </w:r>
    </w:p>
    <w:p w14:paraId="2911E6B6"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Si revisamos la Tabla 2, encontramos diferencias notables en el número de créditos en cada una de las columnas correspondientes a cada área dentro del Módulo Específico. En los complementos para la formación disciplinar, la mayoría de las universidades sitúa en esa área entre 6 y 9 ECTS, pero destacan por su volumen de créditos las universidades Complutense de Madrid (15 ECTS), de Valladolid (14 ECTS) y de Extremadura (12 ECTS). En estos casos, la formación de tipo disciplinar abarca casi un cuarto del total del máster, en número de créditos ECTS, lo que le sitúa a la par de la carga en la formación de tipo psicosociopedagógico, didáctico y práctico. Este hecho es poco congruente con el modelo consecutivo adoptado en España para la formación inicial de docentes de matemáticas de secundaria y bachillerato, donde el máster debería centrarse en la formación en los ámbitos psicosociopedagógico, didáctico y práctico, y la formación disciplinar debería provenir en gran medida de la titulación de grado obtenida. </w:t>
      </w:r>
    </w:p>
    <w:p w14:paraId="2ECCA5B7"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La carga del área de Aprendizaje y Enseñanza de las Matemáticas, que está más vinculada con nuestra área de Didáctica de la Matemática, presenta también diferentes muy importantes entre universidades, puesto que se aprecia en la Tabla 2 que el número de créditos en esta área puede ser de incluso el doble de una universidad a otra. Muchas de las universidades se sitúan alrededor de los 12 ECTS para esta formación, pero hay programas de formación que se sitúan en el extremo por defecto o por exceso. Entre los que tienen un menor peso para esta área, destacan la Universidad de Alcalá de Henares (con 8 ECTS) o la de Cantabria (9 ECTS), mientras que en el extremo opuesto se sitúan la Universidad de Valencia (con 16 ECTS), o las de Alicante, Islas Baleares, La Rioja, Murcia o Salamanca (con 15 ECTS). Este desequilibrio es un condicionante muy importante para la formación en Didáctica de la Matemática de los futuros docentes de secundaria y bachillerato, teniendo en cuenta que, en la práctica totalidad de los casos y como puntualizan Rodríguez-Muñiz et al. (2020), en este máster se produce el primer contacto de los estudiantes con los conocimientos y competencias de esta área, pues tan solo en una minoría de grados universitarios en Matemáticas es posible encontrar alguna asignatura optativa de acercamiento a la educación matemática.</w:t>
      </w:r>
    </w:p>
    <w:p w14:paraId="7BFE2FE6"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Por último, si nos fijamos en el área de Innovación Docente e Iniciación a la Investigación Educativa en Matemáticas, su peso es significativamente menor en comparación con los otros dos en casi todas las universidades. Su carga de créditos se sitúa, mayoritariamente, en los 6 ECTS; aunque destaca por tener un mayor número la Universidad de Alcalá de Henares (8 ECTS), y, en el extremo opuesto, la Universidad de las Islas Baleares con solo 2 ECTS. Además, es también relevante que en algunas universidades esta parte de </w:t>
      </w:r>
      <w:r w:rsidRPr="003B466F">
        <w:rPr>
          <w:rFonts w:ascii="Times New Roman" w:hAnsi="Times New Roman" w:cs="Times New Roman"/>
          <w:sz w:val="24"/>
          <w:szCs w:val="24"/>
        </w:rPr>
        <w:lastRenderedPageBreak/>
        <w:t>Innovación Docente e Iniciación a la Investigación Educativa en Matemáticas se imparte de forma diferenciada para cada especialidad, mientras que en otros programas, total o parcialmente, esta parte se ofrece de forma general, sin esa diferenciación, con una formación desde la pedagogía y la didáctica general y no desde la didáctica específica, lo que también afecta a las características de la formación didáctica recibida por los estudiantes para docente de matemáticas.</w:t>
      </w:r>
    </w:p>
    <w:p w14:paraId="61808343"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A modo de cierre de este análisis de la distribución de créditos, a pesar de que las universidades solo pueden distribuir de forma autónoma 8 de los 60 ECTS del máster, una cantidad aparentemente baja, esto provoca la existencia de diferentes perfiles de máster en función de si se privilegia una mayor presencia de la formación de tipo general (psicosociopedagógico), de tipo didáctico (y, en concreto, desde la didáctica específica) o de tipo práctico; como se trasluce de las variaciones existentes. Otras universidades, por el contrario, optan en sus programas por distribuir esos 8 ECTS entre todas las áreas de un modo más o menos equitativo, como puede ser el caso de la UNED. </w:t>
      </w:r>
    </w:p>
    <w:p w14:paraId="1A389329" w14:textId="77777777" w:rsidR="005C5069" w:rsidRPr="003B466F" w:rsidRDefault="005E6590" w:rsidP="003B466F">
      <w:pPr>
        <w:jc w:val="both"/>
        <w:rPr>
          <w:rFonts w:ascii="Times New Roman" w:hAnsi="Times New Roman" w:cs="Times New Roman"/>
          <w:b/>
          <w:sz w:val="24"/>
          <w:szCs w:val="24"/>
        </w:rPr>
      </w:pPr>
      <w:r w:rsidRPr="003B466F">
        <w:rPr>
          <w:rFonts w:ascii="Times New Roman" w:hAnsi="Times New Roman" w:cs="Times New Roman"/>
          <w:b/>
          <w:sz w:val="24"/>
          <w:szCs w:val="24"/>
        </w:rPr>
        <w:t>2. Necesidades del profesorado de matemáticas de Secundaria y Bachillerato en relación con el Máster</w:t>
      </w:r>
    </w:p>
    <w:p w14:paraId="07723C01"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Es indudable que el máster profesionalizante para ejercer como profesor de enseñanza secundaria ha supuesto una mejora en la formación inicial de los futuros docentes de secundaria y bachillerato con respecto al antiguo CAP (Certificado de Aptitud Pedagógica), en el que los pocos medios para su implantación y desarrollo y su insuficiente duración hizo que entre la sociedad el CAP fuera visto mayoritariamente como un formalismo burocrático con exiguo prestigio como curso de formación inicial (Rico, 2004). </w:t>
      </w:r>
    </w:p>
    <w:p w14:paraId="44749701" w14:textId="2EBF1674" w:rsidR="005C5069"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Así, la introducción y estabilización del modelo actual de máster ha contribuido a superar o avanzar en algunas de las necesidades que existían en la formación inicial de profesorado de matemáticas en secundaria con respecto al CAP. No obstante, tras más de una década de implantación de estos estudios, destacamos a continuación algunas necesidades que se siguen detectando </w:t>
      </w:r>
      <w:r w:rsidR="00AF5B08" w:rsidRPr="003B466F">
        <w:rPr>
          <w:rFonts w:ascii="Times New Roman" w:hAnsi="Times New Roman" w:cs="Times New Roman"/>
          <w:sz w:val="24"/>
          <w:szCs w:val="24"/>
        </w:rPr>
        <w:t>en relación con</w:t>
      </w:r>
      <w:r w:rsidRPr="003B466F">
        <w:rPr>
          <w:rFonts w:ascii="Times New Roman" w:hAnsi="Times New Roman" w:cs="Times New Roman"/>
          <w:sz w:val="24"/>
          <w:szCs w:val="24"/>
        </w:rPr>
        <w:t xml:space="preserve"> la situación del máster como programa de formación inicial para poder ejercer la profesión de docente de matemáticas en educación secundaria: </w:t>
      </w:r>
    </w:p>
    <w:p w14:paraId="57CD9754" w14:textId="77E8E94E" w:rsidR="005C5069" w:rsidRDefault="00AF5B08" w:rsidP="003B466F">
      <w:pPr>
        <w:jc w:val="both"/>
        <w:rPr>
          <w:rFonts w:ascii="Times New Roman" w:hAnsi="Times New Roman" w:cs="Times New Roman"/>
          <w:sz w:val="24"/>
          <w:szCs w:val="24"/>
        </w:rPr>
      </w:pPr>
      <w:r w:rsidRPr="00AF5B08">
        <w:rPr>
          <w:rFonts w:ascii="Times New Roman" w:hAnsi="Times New Roman" w:cs="Times New Roman"/>
          <w:b/>
          <w:bCs/>
          <w:sz w:val="24"/>
          <w:szCs w:val="24"/>
        </w:rPr>
        <w:t>Necesidad 1:</w:t>
      </w:r>
      <w:r>
        <w:rPr>
          <w:rFonts w:ascii="Times New Roman" w:hAnsi="Times New Roman" w:cs="Times New Roman"/>
          <w:sz w:val="24"/>
          <w:szCs w:val="24"/>
        </w:rPr>
        <w:t xml:space="preserve"> E</w:t>
      </w:r>
      <w:r w:rsidR="005E6590" w:rsidRPr="003B466F">
        <w:rPr>
          <w:rFonts w:ascii="Times New Roman" w:hAnsi="Times New Roman" w:cs="Times New Roman"/>
          <w:sz w:val="24"/>
          <w:szCs w:val="24"/>
        </w:rPr>
        <w:t xml:space="preserve">l paso de las licenciaturas a los grados en Matemáticas en el marco de la adaptación al Espacio Europeo de Educación Superior (EEES) ha reducido a la mínima expresión los grados en Matemáticas que contemplan alguna asignatura, generalmente optativa, vinculada a un itinerario didáctico. En concreto únicamente se ofertan en 6 de los 26 Grados en Matemáticas en universidades públicas españolas (Rodríguez-Muñiz et al., 2020). Es necesario tener presente que una de las orientaciones profesionales que recogía el propio Libro Blanco del título de grado en Matemáticas es la de ser docente de matemáticas en educación secundaria (ANECA, 2004), indicándose la conveniencia de que el grado en Matemáticas incluyera algunas materias de formación en didáctica de la matemática. Esto sucede, por ejemplo, en otros países como Francia, Alemania o Suecia. En la situación actual, como se plantea desde la SEIEM (SEIEM, 2022) al analizar el “Documento para debate: 24 propuestas de reforma para mejorar la profesión docente”, al no existir apenas esas asignaturas, los estudiantes acceden al máster únicamente con concepciones o ideas preconcebidas sobre la enseñanza y aprendizaje de las matemáticas </w:t>
      </w:r>
      <w:r w:rsidR="005E6590" w:rsidRPr="003B466F">
        <w:rPr>
          <w:rFonts w:ascii="Times New Roman" w:hAnsi="Times New Roman" w:cs="Times New Roman"/>
          <w:sz w:val="24"/>
          <w:szCs w:val="24"/>
        </w:rPr>
        <w:lastRenderedPageBreak/>
        <w:t xml:space="preserve">derivadas de lo vivido en sus experiencias previas como discentes, y sin haber iniciado el desarrollo de una identidad profesional como docentes. La inclusión de un itinerario o alguna asignatura de índole didáctico en el grado en Matemáticas permitiría iniciar el desarrollo de conocimientos y competencias en la didáctica específica que les ayudarían a ser conscientes de lo que significa ser docente de matemáticas, valorar su enseñanza y aprendizaje, desarrollar o concretar sus vocaciones hacia esta salida profesional y conocer un área como la Didáctica de la Matemática y lo que en ella se hace. Esta inclusión es especialmente pertinente en la actualidad, dado que la inserción laboral muy alta y bien remunerada de las múltiples salidas que actualmente tiene el grado en Matemáticas (Rodríguez-Muñiz et al., 2020) están generando una escasez de docentes de matemáticas en secundaria, así como una menor cantidad de estudiantes en la propia especialidad del máster que provienen el grado en Matemáticas, que hacen necesario alimentar las vocaciones docentes y la visibilización de esta orientación didáctica desde el propio grado. </w:t>
      </w:r>
    </w:p>
    <w:p w14:paraId="053368A8" w14:textId="1083649F" w:rsidR="005C5069" w:rsidRDefault="00AF5B08" w:rsidP="00AF5B08">
      <w:pPr>
        <w:jc w:val="both"/>
        <w:rPr>
          <w:rFonts w:ascii="Times New Roman" w:hAnsi="Times New Roman" w:cs="Times New Roman"/>
          <w:sz w:val="24"/>
          <w:szCs w:val="24"/>
        </w:rPr>
      </w:pPr>
      <w:r w:rsidRPr="00AF5B08">
        <w:rPr>
          <w:rFonts w:ascii="Times New Roman" w:hAnsi="Times New Roman" w:cs="Times New Roman"/>
          <w:b/>
          <w:bCs/>
          <w:sz w:val="24"/>
          <w:szCs w:val="24"/>
        </w:rPr>
        <w:t xml:space="preserve">Necesidad 2: </w:t>
      </w:r>
      <w:r>
        <w:rPr>
          <w:rFonts w:ascii="Times New Roman" w:hAnsi="Times New Roman" w:cs="Times New Roman"/>
          <w:sz w:val="24"/>
          <w:szCs w:val="24"/>
        </w:rPr>
        <w:t>E</w:t>
      </w:r>
      <w:r w:rsidR="005E6590" w:rsidRPr="003B466F">
        <w:rPr>
          <w:rFonts w:ascii="Times New Roman" w:hAnsi="Times New Roman" w:cs="Times New Roman"/>
          <w:sz w:val="24"/>
          <w:szCs w:val="24"/>
        </w:rPr>
        <w:t>n la actualidad, como comentábamos en la necesidad 1, el número de estudiantes de la especialidad de matemáticas del máster que provienen del grado en Matemáticas fluctúa mucho. No son pocos los casos en que representan un porcentaje pequeño, existiendo un mayor número de estudiantes procedentes de otras titulaciones, como algunas ingenierías, en las que actualmente la inserción laboral puede ser menor. Este hecho, unido a que el paso de licenciaturas a grados ha propiciado una reducción de la carga de créditos en matemáticas en muchas titulaciones de índole científico-técnica (Rodríguez-Muñiz et al., 2020), hace que encontremos en la actualidad un perfil muy heterogéneo de estudiantado en esta especialidad del máster en relación con su conocimiento disciplinar en matemáticas. Este hecho supone un problema dado que, en un modelo consecutivo como el existente en España, la formación disciplinar se supone adquirida, o al menos desarrollada en gran medida, en los estudios de grado previos al máster. La parte de complementos para la formación disciplinar existente en el máster ha de estar orientada, como su propio nombre indica, a complementar la formación disciplinar con un conocimiento matemático más especializado orientado hacia las matemáticas que se enseñan en secundaria y bachillerato (lo cual se concretará más en un apartado posterior) y no a desarrollar un conocimiento disciplinar en matemáticas sólido que vaya más allá de una visión instrumental y superficial, de aplicación directa de procedimientos o algoritmos. Esto último no puede ser un objetivo del propio máster en un modelo de carácter consecutivo.</w:t>
      </w:r>
    </w:p>
    <w:p w14:paraId="372DA193" w14:textId="13671348" w:rsidR="005C5069" w:rsidRDefault="00AF5B08" w:rsidP="00AF5B08">
      <w:pPr>
        <w:jc w:val="both"/>
        <w:rPr>
          <w:rFonts w:ascii="Times New Roman" w:hAnsi="Times New Roman" w:cs="Times New Roman"/>
          <w:sz w:val="24"/>
          <w:szCs w:val="24"/>
        </w:rPr>
      </w:pPr>
      <w:r w:rsidRPr="00AF5B08">
        <w:rPr>
          <w:rFonts w:ascii="Times New Roman" w:hAnsi="Times New Roman" w:cs="Times New Roman"/>
          <w:b/>
          <w:bCs/>
          <w:sz w:val="24"/>
          <w:szCs w:val="24"/>
        </w:rPr>
        <w:t xml:space="preserve">Necesidad 3: </w:t>
      </w:r>
      <w:r w:rsidR="005E6590" w:rsidRPr="003B466F">
        <w:rPr>
          <w:rFonts w:ascii="Times New Roman" w:hAnsi="Times New Roman" w:cs="Times New Roman"/>
          <w:sz w:val="24"/>
          <w:szCs w:val="24"/>
        </w:rPr>
        <w:t xml:space="preserve">Como ya destaca Font (2011), se observa en gran parte de los currículos de matemáticas, incluyendo el caso de España, un giro en los currículos desde una componente conceptual hacia una componente procedimental, con una organización basada en competencias. Este giro está vinculado a la publicación de documentos de referencia como los Principios y Estándares del NCTM (2003) o como los del estudio PISA (OCDE, 2004, 2023). Por ejemplo, el currículo actual de matemáticas de la LOMLOE en España (Ministerio de Educación y Formación Profesional, 2022a, 2022b) establece una serie de competencias específicas que se organizan en gran medida a partir de los estándares de proceso que propone el NCTM (2003): resolución de problemas, razonamiento y prueba, conexiones, comunicación y representación (además de las destrezas socioafectivas). Como señala Font (2011), uno de los motivos de este giro procedimental es que las matemáticas se ven actualmente como una ciencia en la que el </w:t>
      </w:r>
      <w:r w:rsidR="005E6590" w:rsidRPr="003B466F">
        <w:rPr>
          <w:rFonts w:ascii="Times New Roman" w:hAnsi="Times New Roman" w:cs="Times New Roman"/>
          <w:sz w:val="24"/>
          <w:szCs w:val="24"/>
        </w:rPr>
        <w:lastRenderedPageBreak/>
        <w:t>método, los procesos que se utilizan cuando hacemos matemáticas, predomina sobre el contenido concreto al que se apliquen estos procesos. En este sentido, los estudiantes para docente de educación secundaria pueden tener diferentes concepciones sobre lo que son las matemáticas en función, en gran medida, de las experiencias que hayan vivido en su aprendizaje en la etapa escolar y universitaria. El grado de alineamiento de estas concepciones con la visión de las matemáticas que tienen los currículos actuales puede ser muy diferente. Por ejemplo, una concepción de matemáticas como ciencia que estudia patrones, relaciones o propiedades en entes como números, formas o estructuras presenta un buen alineamiento con la presencia importante de procesos clave como los anteriormente comentados en el desarrollo de la actividad matemática. Sin embargo, otras concepciones muy arraigadas como que las matemáticas son un conjunto de procedimientos y algoritmos entre los que hay que elegir o aplicar el adecuado para resolver situaciones no presentan ese mismo alineamiento con el currículo y pueden dificultar que estos profesores generen adecuadamente situaciones para que los estudiantes desarrollen sus competencias específicas en matemáticas. Reflexionar sobre las concepciones que se tienen hacia las matemáticas es importante en el Máster, pero promover cambios en ellas no es algo sencillo, dado que son personas ya en edad adulta.</w:t>
      </w:r>
    </w:p>
    <w:p w14:paraId="4039BCD2" w14:textId="2E526AC0" w:rsidR="005C5069" w:rsidRDefault="00AF5B08" w:rsidP="003B466F">
      <w:pPr>
        <w:jc w:val="both"/>
        <w:rPr>
          <w:rFonts w:ascii="Times New Roman" w:hAnsi="Times New Roman" w:cs="Times New Roman"/>
          <w:sz w:val="24"/>
          <w:szCs w:val="24"/>
        </w:rPr>
      </w:pPr>
      <w:r w:rsidRPr="00AF5B08">
        <w:rPr>
          <w:rFonts w:ascii="Times New Roman" w:hAnsi="Times New Roman" w:cs="Times New Roman"/>
          <w:b/>
          <w:bCs/>
          <w:sz w:val="24"/>
          <w:szCs w:val="24"/>
        </w:rPr>
        <w:t xml:space="preserve">Necesidad 4: </w:t>
      </w:r>
      <w:r w:rsidR="005E6590" w:rsidRPr="003B466F">
        <w:rPr>
          <w:rFonts w:ascii="Times New Roman" w:hAnsi="Times New Roman" w:cs="Times New Roman"/>
          <w:sz w:val="24"/>
          <w:szCs w:val="24"/>
        </w:rPr>
        <w:t xml:space="preserve">En las últimas leyes educativas en España, la competencia matemática no aparece en solitario como una de las competencias clave, sino que aparece vinculada con otras competencias de carácter científico-tecnológico. Por ejemplo, en la LOMLOE, encontramos como competencia clave la competencia STEM (competencia matemática y en ciencia, tecnología e ingeniería) lo que, sin perder la especificidad de cada disciplina, pone de manifiesto la importancia de las conexiones existentes entre ellas y el papel que juegan las matemáticas en la resolución de muchas situaciones y modelos vinculados con la ciencia, la tecnología y la ingeniería. Sin embargo, y a diferencia de lo que sucede con la formación inicial de carácter más holístico que tienen los docentes de educación primaria, la formación del máster en España se centra en una única especialidad. Esto, en el caso de las matemáticas, puede traducirse en un conocimiento débil de muchas de esas conexiones y aplicaciones de las matemáticas que pueden limitar la generación de planteamientos interdisciplinares consistentes en la labor docente en las etapas de secundaria y bachillerato. Este hecho sugiere la necesidad, como se indica en el documento de análisis y propuestas de la SEIEM (2022) al “Documento para debate: 24 propuestas de reforma para mejorar la profesión docente”, de que pudiera enriquecerse la formación del máster con la incorporación de algún tipo de formación interdisciplinar, de orientación STEM, en especialidades del máster como las de matemáticas o las vinculadas con ciencia y tecnología, que ayudaran a conocer y contemplar las relaciones entre estas disciplinas, para lo cual los formadores de profesores también deberían tener esa competencia de establecer conexiones. Esta formación, no obstante, no debería ir en detrimento de la cantidad y especificidad de la formación didáctico-matemática ya existente. </w:t>
      </w:r>
    </w:p>
    <w:p w14:paraId="020D9045" w14:textId="18FA0821" w:rsidR="005C5069" w:rsidRDefault="00AF5B08" w:rsidP="00AF5B08">
      <w:pPr>
        <w:jc w:val="both"/>
        <w:rPr>
          <w:rFonts w:ascii="Times New Roman" w:hAnsi="Times New Roman" w:cs="Times New Roman"/>
          <w:sz w:val="24"/>
          <w:szCs w:val="24"/>
        </w:rPr>
      </w:pPr>
      <w:r w:rsidRPr="00AF5B08">
        <w:rPr>
          <w:rFonts w:ascii="Times New Roman" w:hAnsi="Times New Roman" w:cs="Times New Roman"/>
          <w:b/>
          <w:bCs/>
          <w:sz w:val="24"/>
          <w:szCs w:val="24"/>
        </w:rPr>
        <w:t>Necesidad 5:</w:t>
      </w:r>
      <w:r>
        <w:rPr>
          <w:rFonts w:ascii="Times New Roman" w:hAnsi="Times New Roman" w:cs="Times New Roman"/>
          <w:sz w:val="24"/>
          <w:szCs w:val="24"/>
        </w:rPr>
        <w:t xml:space="preserve"> </w:t>
      </w:r>
      <w:r w:rsidR="005E6590" w:rsidRPr="003B466F">
        <w:rPr>
          <w:rFonts w:ascii="Times New Roman" w:hAnsi="Times New Roman" w:cs="Times New Roman"/>
          <w:sz w:val="24"/>
          <w:szCs w:val="24"/>
        </w:rPr>
        <w:t xml:space="preserve">Desde que la Ley de Reforma Universitaria (LRU) de 1983 incluyera a la Didáctica de la Matemática por primera vez como una de las áreas de conocimiento en las que se organiza la Universidad, el desarrollo de esta área de conocimiento tanto a nivel internacional como en España ha sido muy grande en los últimos 40 - 50 años. Como destacan Rodríguez-Muñiz et al. (2020), se trata de una de las didácticas específicas con un mayor desarrollo como área de investigación. En esta área hay líneas de investigación </w:t>
      </w:r>
      <w:r w:rsidR="005E6590" w:rsidRPr="003B466F">
        <w:rPr>
          <w:rFonts w:ascii="Times New Roman" w:hAnsi="Times New Roman" w:cs="Times New Roman"/>
          <w:sz w:val="24"/>
          <w:szCs w:val="24"/>
        </w:rPr>
        <w:lastRenderedPageBreak/>
        <w:t xml:space="preserve">muy relevantes que tienen que ver tanto con la enseñanza y el aprendizaje de los contenidos y procesos propios de las matemáticas en secundaria y bachillerato. Todo ello tiene que tener su efecto en un plan de formación de profesorado como es el del máster. En la situación actual, como hemos mostrado en la Tabla 2, la parte más directamente relacionada con el desarrollo de conocimientos y competencias asociados a la Didáctica de la Matemática, como son las áreas de Aprendizaje y Enseñanza de las Matemáticas e Innovación Docente e Iniciación a la Investigación Educativa en Matemáticas, ocupan entre 15 y 18 créditos del máster en la inmensa mayoría de los casos. Esa carga de créditos se manifiesta insuficiente para abordar con garantías la formación inicial en conocimientos y competencias didácticas específicas del futuro docente de matemáticas en educación secundaria y en bachillerato, lo que sugiere la necesidad de repensar la duración total del máster o su organización interna para poder ofrecer una formación inicial de mayores garantías. </w:t>
      </w:r>
    </w:p>
    <w:p w14:paraId="6F008C03" w14:textId="5DF30B3A" w:rsidR="005C5069" w:rsidRDefault="00AF5B08" w:rsidP="00AF5B08">
      <w:pPr>
        <w:jc w:val="both"/>
        <w:rPr>
          <w:rFonts w:ascii="Times New Roman" w:hAnsi="Times New Roman" w:cs="Times New Roman"/>
          <w:sz w:val="24"/>
          <w:szCs w:val="24"/>
        </w:rPr>
      </w:pPr>
      <w:r w:rsidRPr="00AF5B08">
        <w:rPr>
          <w:rFonts w:ascii="Times New Roman" w:hAnsi="Times New Roman" w:cs="Times New Roman"/>
          <w:b/>
          <w:bCs/>
          <w:sz w:val="24"/>
          <w:szCs w:val="24"/>
        </w:rPr>
        <w:t xml:space="preserve">Necesidad 6: </w:t>
      </w:r>
      <w:r w:rsidR="005E6590" w:rsidRPr="003B466F">
        <w:rPr>
          <w:rFonts w:ascii="Times New Roman" w:hAnsi="Times New Roman" w:cs="Times New Roman"/>
          <w:sz w:val="24"/>
          <w:szCs w:val="24"/>
        </w:rPr>
        <w:t>Un hecho que sigue siendo crítico, tanto por su importancia como por su dificultad, en los programas de formación inicial es la conexión entre los conocimientos de tipo teórico desarrollados en el máster y la práctica de aula como profesor de matemáticas. La siguiente frase, atribuida a Immanuel Kant, pone de manifiesto el rol complementario necesario de teoría y práctica: “La teoría sin la práctica es estéril, pero la práctica sin la teoría es ciega”, frase también aplicable al contexto educativo. En el contexto del máster, la (o las, pues en algunos másteres el Prácticum se divide en dos periodos, normalmente uno más vinculado a la observación y otro más vinculado a la intervención) asignatura de Prácticum supone una piedra angular fundamental para poder favorecer una integración interactiva entre la formación académica y la formación práctica, que resulta clave para la formación del profesorado (Boyd et al., 2009). Una propuesta muy interesante para avanzar en ese camino, realizada desde la SEIEM (2022), es la apostar por la creación, consolidación y reconocimiento de comunidades de práctica en el contexto del Prácticum, en las que participen profesores tutores de instituto, profesores tutores de la universidad y estudiantes del máster. En dichas comunidades se puede promover el análisis y reflexión de lo sucedido en la práctica de aula, su vinculación con conocimientos y competencias profesionales abordadas en otros bloques del máster, y la promoción de la transferencia al aula tanto de resultados de investigación como de propuestas o recursos desarrollados desde la Didáctica de la Matemática para entender o superar dificultades o mejorar situaciones vinculadas a la enseñanza-aprendizaje de las matemáticas en el aula. Este trabajo, análisis y reflexión en comunidades de práctica favorecería una mejor valoración de la formación recibida en el máster, evitando concepciones que ven el conocimiento teórico desarrollado en Didáctica de la Matemática como algo idealizado pero inaplicable en contextos reales de aula. Estas comunidades también pueden extenderse más allá del contexto del propio Prácticum, y ayudar a robustecer colaboraciones entre universidad e institutos, algo que no siempre es sencillo por las dificultades burocráticas derivadas de depender de organismos distintos (Universidades por un lado, Consejerías de Educación por otro). No obstante, para ello es fundamental ese reconocimiento desde las administraciones a los docentes tanto de secundaria como universitarios que desarrollen estas labores de colaboración institucionalizada, así como moderar el número de estudiantes que puede tutelar un tutor universitario para poder hacerlo con garantías.</w:t>
      </w:r>
    </w:p>
    <w:p w14:paraId="0C15F80B" w14:textId="65257CAD" w:rsidR="005C5069" w:rsidRPr="003B466F" w:rsidRDefault="00AF5B08" w:rsidP="003B466F">
      <w:pPr>
        <w:jc w:val="both"/>
        <w:rPr>
          <w:rFonts w:ascii="Times New Roman" w:hAnsi="Times New Roman" w:cs="Times New Roman"/>
          <w:b/>
          <w:sz w:val="24"/>
          <w:szCs w:val="24"/>
        </w:rPr>
      </w:pPr>
      <w:r w:rsidRPr="00AF5B08">
        <w:rPr>
          <w:rFonts w:ascii="Times New Roman" w:hAnsi="Times New Roman" w:cs="Times New Roman"/>
          <w:b/>
          <w:bCs/>
          <w:sz w:val="24"/>
          <w:szCs w:val="24"/>
        </w:rPr>
        <w:lastRenderedPageBreak/>
        <w:t xml:space="preserve">Necesidad 7: </w:t>
      </w:r>
      <w:r w:rsidR="005E6590" w:rsidRPr="003B466F">
        <w:rPr>
          <w:rFonts w:ascii="Times New Roman" w:hAnsi="Times New Roman" w:cs="Times New Roman"/>
          <w:sz w:val="24"/>
          <w:szCs w:val="24"/>
        </w:rPr>
        <w:t xml:space="preserve">Este punto va un poco más allá del propio plan de formación, pero es necesario que desde las administraciones educativas se impulse una valoración real de la formación específica en conocimientos tanto disciplinares pero, sobre todo, didácticos, en las especialidades del máster (en particular, la especialidad de matemáticas). Rodríguez-Muñiz et al. (2020) comentan dos ejemplos que ponen en duda la existencia de esa valoración en la actualidad. Un ejemplo es la posibilidad de que una persona pueda presentarse a una determinada especialidad en las oposiciones para ser docente de educación secundaria y bachillerato sin haber cursado esa especialidad en el máster de Profesorado en Secundaria, lo que puede dar a entender que la formación didáctica y práctica no tiene el carácter específico, vinculado a la especialidad, que realmente tiene. Otro ejemplo es que el temario de la prueba teórica de oposiciones provenga del año 1993, sin que se haya actualizado desde entonces, y que el temario esté centrado en temas de conocimiento disciplinar en matemáticas, sin presencia en sus títulos ni de aspectos ni de conocimientos vinculados con la Didáctica de la Matemática. No impulsar esta valoración en las oposiciones de la formación específica recibida en el máster favorece que, entre una parte de la sociedad, siga existiendo una concepción del máster similar a la que se tenía del CAP, como curso burocrático a realizar, pero que no aporta una formación que parezca valorarse en procesos de selección del profesorado. </w:t>
      </w:r>
    </w:p>
    <w:p w14:paraId="41D98601" w14:textId="77777777" w:rsidR="005C5069" w:rsidRPr="003B466F" w:rsidRDefault="005E6590" w:rsidP="003B466F">
      <w:pPr>
        <w:jc w:val="both"/>
        <w:rPr>
          <w:rFonts w:ascii="Times New Roman" w:hAnsi="Times New Roman" w:cs="Times New Roman"/>
          <w:b/>
          <w:sz w:val="24"/>
          <w:szCs w:val="24"/>
        </w:rPr>
      </w:pPr>
      <w:r w:rsidRPr="003B466F">
        <w:rPr>
          <w:rFonts w:ascii="Times New Roman" w:hAnsi="Times New Roman" w:cs="Times New Roman"/>
          <w:b/>
          <w:sz w:val="24"/>
          <w:szCs w:val="24"/>
        </w:rPr>
        <w:t>3. Panorámica internacional de la formación inicial de profesores de secundaria en matemáticas</w:t>
      </w:r>
    </w:p>
    <w:p w14:paraId="50F69D31"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Hoy en día, puede afirmarse que hay un consenso internacional en destacar la importancia y el papel clave que tienen los docentes para el diseño y gestión de unos procesos adecuados de enseñanza y aprendizaje de cualquier disciplina y, en particular, de las matemáticas. Como indica Font (2011), “el desarrollo del pensamiento y de las competencias matemáticas de los alumnos depende, de manera esencial, de la formación de sus profesores”. En ese sentido, como destacan Arce et al. (2019), numerosos estudios destacan el impacto positivo que tiene, en la formación matemática de los estudiantes, aspectos como el nivel de conocimiento matemático y didáctico del profesorado o una concepción de las matemáticas cercana a la comprensión y los procesos de razonamiento (frente a una concepción como conjunto de reglas y procedimiento de aplicación). </w:t>
      </w:r>
    </w:p>
    <w:p w14:paraId="1FF94FEC"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Los programas de formación inicial del docente de matemáticas en educación secundaria y bachillerato suponen la oportunidad para alcanzar conocimientos y competencias necesarios en un grado suficiente, por lo que su configuración y estructura tiene un papel determinante para ello. El progresivo desarrollo de las didácticas específicas como es el caso de la Didáctica de la Matemática (que, como comentan Rodríguez-Muñiz et al., 2020, tiene una trayectoria como área de investigación consolidada nacional e internacionalmente, y puntera entre las didácticas específicas), contribuyen a superar algunas visiones ingenuas sobre la profesión docente. Ejemplos de visiones ingenuas, que siguen teniendo su presencia, son la suficiencia de tener un conocimiento matemático robusto para ser un buen docente de matemáticas o el aprendizaje de la profesión docente a través exclusivamente de la experiencia práctica o del ejercicio de dicha profesión.  </w:t>
      </w:r>
    </w:p>
    <w:p w14:paraId="3A7BD286"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Un programa de formación inicial de profesores de secundaria ha de aglutinar tanto conocimientos como el desarrollo de competencias de cuatro grandes tipos: disciplinares (en nuestro caso, matemáticas); generales de tipo pedagógico, psicológico y sociológico; </w:t>
      </w:r>
      <w:r w:rsidRPr="003B466F">
        <w:rPr>
          <w:rFonts w:ascii="Times New Roman" w:hAnsi="Times New Roman" w:cs="Times New Roman"/>
          <w:sz w:val="24"/>
          <w:szCs w:val="24"/>
        </w:rPr>
        <w:lastRenderedPageBreak/>
        <w:t xml:space="preserve">didácticos (en nuestro caso, asociados a la Didáctica de la Matemática) y prácticos (vinculados al ejercicio de la propia profesión). Según cómo se organicen los modelos de formación inicial, podemos indicar dos grandes tipos de estructuras diferenciadas, ya comentados en el punto 1 de este documento: </w:t>
      </w:r>
    </w:p>
    <w:p w14:paraId="3B482497" w14:textId="77777777" w:rsidR="005C5069" w:rsidRPr="003B466F" w:rsidRDefault="005E6590" w:rsidP="003B466F">
      <w:pPr>
        <w:numPr>
          <w:ilvl w:val="0"/>
          <w:numId w:val="9"/>
        </w:numPr>
        <w:jc w:val="both"/>
        <w:rPr>
          <w:rFonts w:ascii="Times New Roman" w:hAnsi="Times New Roman" w:cs="Times New Roman"/>
          <w:sz w:val="24"/>
          <w:szCs w:val="24"/>
        </w:rPr>
      </w:pPr>
      <w:r w:rsidRPr="003B466F">
        <w:rPr>
          <w:rFonts w:ascii="Times New Roman" w:hAnsi="Times New Roman" w:cs="Times New Roman"/>
          <w:sz w:val="24"/>
          <w:szCs w:val="24"/>
        </w:rPr>
        <w:t xml:space="preserve">Modelo concurrente: Modelo que engloba en una misma titulación los cuatro tipos de formación (disciplinar, psicosociopedagógica, didáctica y práctica). </w:t>
      </w:r>
    </w:p>
    <w:p w14:paraId="59B07A63" w14:textId="77777777" w:rsidR="005C5069" w:rsidRPr="003B466F" w:rsidRDefault="005E6590" w:rsidP="003B466F">
      <w:pPr>
        <w:numPr>
          <w:ilvl w:val="0"/>
          <w:numId w:val="9"/>
        </w:numPr>
        <w:jc w:val="both"/>
        <w:rPr>
          <w:rFonts w:ascii="Times New Roman" w:hAnsi="Times New Roman" w:cs="Times New Roman"/>
          <w:sz w:val="24"/>
          <w:szCs w:val="24"/>
        </w:rPr>
      </w:pPr>
      <w:r w:rsidRPr="003B466F">
        <w:rPr>
          <w:rFonts w:ascii="Times New Roman" w:hAnsi="Times New Roman" w:cs="Times New Roman"/>
          <w:sz w:val="24"/>
          <w:szCs w:val="24"/>
        </w:rPr>
        <w:t xml:space="preserve">Modelo consecutivo: Modelo en el que, tras la obtención de un título universitario que acredita la formación en una disciplina concreta, se ha de obtener otro título centrado fundamentalmente en los otros tres tipos de formación (psicosociopedagógica,  didáctica y práctica). </w:t>
      </w:r>
    </w:p>
    <w:p w14:paraId="62541762"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Si hacemos una revisión internacional de los programas de formación inicial de profesores de matemáticas en las etapas equivalentes a la educación secundaria y el bachillerato españoles, encontramos programas de ambos tipos, que incluso en ocasiones coexisten en un mismo país, o que tienen uno u otro carácter según se dirija a profesores de los primeros años de secundaria (grados 7 a 9) o de los últimos años (grados 10 a 12). Tomando como referencia la información de fuentes como TIMSS 2015 Encyclopedia (Mullis et al., 2016) o EURYDICE (2024), se observa cómo los programas de formación inicial en estas etapas tienen un modelo consecutivo en muchos países, formando generalmente para ser profesor de una materia (en nuestro caso, matemáticas) o coexisten ambos modelos, siendo menos frecuente encontrar en un país únicamente un modelo de tipo concurrente. Este hecho, al igual que sucede en España, marca una diferencia con el modelo de formación inicial del profesorado destinado a etapas educativas previas, como educación Infantil o educación primaria, donde son mayoritarios los modelos de tipo concurrente. </w:t>
      </w:r>
    </w:p>
    <w:p w14:paraId="4F11E843"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Mostramos a continuación una breve pincelada del modelo de formación inicial del profesorado de secundaria en diferentes países (EURYDICE, 2024; Mullis et al., 2016): </w:t>
      </w:r>
    </w:p>
    <w:p w14:paraId="7D082E20" w14:textId="77777777" w:rsidR="005C5069" w:rsidRPr="003B466F" w:rsidRDefault="005E6590" w:rsidP="003B466F">
      <w:pPr>
        <w:numPr>
          <w:ilvl w:val="0"/>
          <w:numId w:val="4"/>
        </w:numPr>
        <w:jc w:val="both"/>
        <w:rPr>
          <w:rFonts w:ascii="Times New Roman" w:hAnsi="Times New Roman" w:cs="Times New Roman"/>
          <w:sz w:val="24"/>
          <w:szCs w:val="24"/>
        </w:rPr>
      </w:pPr>
      <w:r w:rsidRPr="003B466F">
        <w:rPr>
          <w:rFonts w:ascii="Times New Roman" w:hAnsi="Times New Roman" w:cs="Times New Roman"/>
          <w:sz w:val="24"/>
          <w:szCs w:val="24"/>
        </w:rPr>
        <w:t xml:space="preserve">Portugal: El modelo de formación es de tipo consecutivo. Inicialmente los estudiantes han de desarrollar un grado universitario vinculado con la disciplina (en este caso, de matemáticas, o con al menos entre 120 créditos ECTS en matemáticas) y, posteriormente, desarrollar un programa de 120 créditos ECTS (equivalente a un máster de dos cursos académicos completos) centrado en los otros tres tipos de formación (psicopedagógica, didáctica y práctica). La parte de la formación práctica tiene un peso muy importante (uno de los dos cursos académicos). </w:t>
      </w:r>
    </w:p>
    <w:p w14:paraId="3DDE6F05" w14:textId="77777777" w:rsidR="005C5069" w:rsidRPr="003B466F" w:rsidRDefault="005E6590" w:rsidP="003B466F">
      <w:pPr>
        <w:numPr>
          <w:ilvl w:val="0"/>
          <w:numId w:val="4"/>
        </w:numPr>
        <w:jc w:val="both"/>
        <w:rPr>
          <w:rFonts w:ascii="Times New Roman" w:hAnsi="Times New Roman" w:cs="Times New Roman"/>
          <w:sz w:val="24"/>
          <w:szCs w:val="24"/>
        </w:rPr>
      </w:pPr>
      <w:r w:rsidRPr="003B466F">
        <w:rPr>
          <w:rFonts w:ascii="Times New Roman" w:hAnsi="Times New Roman" w:cs="Times New Roman"/>
          <w:sz w:val="24"/>
          <w:szCs w:val="24"/>
        </w:rPr>
        <w:t xml:space="preserve">Francia: El modelo de formación es consecutivo. Los estudiantes han de desarrollar primero un grado universitario, normalmente de tres cursos académicos completos, en una disciplina. Posteriormente, los estudiantes han de desarrollar un programa de Máster de especialización en educación, enseñanza y aprendizaje (MEEF), que se extiende por dos cursos académicos y que engloba la formación psicopedagógica, didáctica y práctica. </w:t>
      </w:r>
    </w:p>
    <w:p w14:paraId="1955F427" w14:textId="77777777" w:rsidR="005C5069" w:rsidRPr="003B466F" w:rsidRDefault="005E6590" w:rsidP="003B466F">
      <w:pPr>
        <w:numPr>
          <w:ilvl w:val="0"/>
          <w:numId w:val="4"/>
        </w:numPr>
        <w:jc w:val="both"/>
        <w:rPr>
          <w:rFonts w:ascii="Times New Roman" w:hAnsi="Times New Roman" w:cs="Times New Roman"/>
          <w:sz w:val="24"/>
          <w:szCs w:val="24"/>
        </w:rPr>
      </w:pPr>
      <w:r w:rsidRPr="003B466F">
        <w:rPr>
          <w:rFonts w:ascii="Times New Roman" w:hAnsi="Times New Roman" w:cs="Times New Roman"/>
          <w:sz w:val="24"/>
          <w:szCs w:val="24"/>
        </w:rPr>
        <w:t xml:space="preserve">Italia: El modelo de formación tiene un carácter consecutivo y se ha modificado recientemente. Tras finalizar los estudios universitarios en una de las áreas que se imparten en secundaria, los estudiantes han de desarrollar un programa de </w:t>
      </w:r>
      <w:r w:rsidRPr="003B466F">
        <w:rPr>
          <w:rFonts w:ascii="Times New Roman" w:hAnsi="Times New Roman" w:cs="Times New Roman"/>
          <w:sz w:val="24"/>
          <w:szCs w:val="24"/>
        </w:rPr>
        <w:lastRenderedPageBreak/>
        <w:t>cualificación de 60 ECTS, el equivalente a un curso académico, que contempla la formación en aspectos pedagógicos, didácticos y prácticos. La formación de carácter didáctico abarca 16 ECTS.</w:t>
      </w:r>
    </w:p>
    <w:p w14:paraId="11842DC6" w14:textId="77777777" w:rsidR="005C5069" w:rsidRPr="003B466F" w:rsidRDefault="005E6590" w:rsidP="003B466F">
      <w:pPr>
        <w:numPr>
          <w:ilvl w:val="0"/>
          <w:numId w:val="4"/>
        </w:numPr>
        <w:jc w:val="both"/>
        <w:rPr>
          <w:rFonts w:ascii="Times New Roman" w:hAnsi="Times New Roman" w:cs="Times New Roman"/>
          <w:sz w:val="24"/>
          <w:szCs w:val="24"/>
        </w:rPr>
      </w:pPr>
      <w:r w:rsidRPr="003B466F">
        <w:rPr>
          <w:rFonts w:ascii="Times New Roman" w:hAnsi="Times New Roman" w:cs="Times New Roman"/>
          <w:sz w:val="24"/>
          <w:szCs w:val="24"/>
        </w:rPr>
        <w:t xml:space="preserve">Alemania: El modelo de formación tiene un carácter concurrente, dividido en dos periodos: uno equivalente al grado (normalmente de tres cursos académicos) y otro equivalente al máster (normalmente de dos cursos académicos). En ambos periodos se entremezcla la formación psicopedagógica general, disciplinar, didáctica y práctica. Como particularidad, la formación no se realiza únicamente en una disciplina, sino en dos disciplinas y sus didácticas. </w:t>
      </w:r>
    </w:p>
    <w:p w14:paraId="16DCC1D9" w14:textId="77777777" w:rsidR="005C5069" w:rsidRPr="003B466F" w:rsidRDefault="005E6590" w:rsidP="003B466F">
      <w:pPr>
        <w:numPr>
          <w:ilvl w:val="0"/>
          <w:numId w:val="4"/>
        </w:numPr>
        <w:jc w:val="both"/>
        <w:rPr>
          <w:rFonts w:ascii="Times New Roman" w:hAnsi="Times New Roman" w:cs="Times New Roman"/>
          <w:sz w:val="24"/>
          <w:szCs w:val="24"/>
        </w:rPr>
      </w:pPr>
      <w:r w:rsidRPr="003B466F">
        <w:rPr>
          <w:rFonts w:ascii="Times New Roman" w:hAnsi="Times New Roman" w:cs="Times New Roman"/>
          <w:sz w:val="24"/>
          <w:szCs w:val="24"/>
        </w:rPr>
        <w:t xml:space="preserve">Suecia: El modelo de formación tiene un carácter concurrente, con titulaciones específicas que tienen duración diferente según si están dirigidas a los primeros años de la educación secundaria o a los últimos. Para los Grados 7 a 9, el título consta de 270 ECTS (el equivalente a 4,5 cursos académicos) y otorga la especialización para tres disciplinas diferentes, siendo 195 de los 270 ECTS créditos vinculados al estudio de esas disciplinas. Para los Grados 10 a 12, el título tiene 300 o 330 ECTS, otorga especialización para dos disciplinas, y consta de 225 o 255 ECTS vinculados al estudio de esas disciplinas. Para personas con un grado universitario en alguna materia, existe la opción de poder formarse como docente con un curso de 90 ECTS. </w:t>
      </w:r>
    </w:p>
    <w:p w14:paraId="2E056F29" w14:textId="77777777" w:rsidR="005C5069" w:rsidRPr="003B466F" w:rsidRDefault="005E6590" w:rsidP="003B466F">
      <w:pPr>
        <w:numPr>
          <w:ilvl w:val="0"/>
          <w:numId w:val="4"/>
        </w:numPr>
        <w:jc w:val="both"/>
        <w:rPr>
          <w:rFonts w:ascii="Times New Roman" w:hAnsi="Times New Roman" w:cs="Times New Roman"/>
          <w:sz w:val="24"/>
          <w:szCs w:val="24"/>
        </w:rPr>
      </w:pPr>
      <w:r w:rsidRPr="003B466F">
        <w:rPr>
          <w:rFonts w:ascii="Times New Roman" w:hAnsi="Times New Roman" w:cs="Times New Roman"/>
          <w:sz w:val="24"/>
          <w:szCs w:val="24"/>
        </w:rPr>
        <w:t xml:space="preserve">Finlandia: Existen ambas modalidades de formación, tanto con un formato concurrente como con uno consecutivo, con una duración en ambos casos entre 5 y 6 cursos académicos. En ambas modalidades hay una parte de formación en alguna disciplina y otra parte, dependiente de las Facultades de Educación, con la formación psicopedagógica, didáctica y la parte práctica. Esas partes pueden estudiarse en paralelo o primero la parte disciplinar y luego las restantes. En todo caso, entre las partes psicopedagógica, didáctica y práctica el número de ECTS ha de ser de al menos 60. </w:t>
      </w:r>
    </w:p>
    <w:p w14:paraId="21863CC1" w14:textId="77777777" w:rsidR="005C5069" w:rsidRPr="003B466F" w:rsidRDefault="005E6590" w:rsidP="003B466F">
      <w:pPr>
        <w:numPr>
          <w:ilvl w:val="0"/>
          <w:numId w:val="4"/>
        </w:numPr>
        <w:jc w:val="both"/>
        <w:rPr>
          <w:rFonts w:ascii="Times New Roman" w:hAnsi="Times New Roman" w:cs="Times New Roman"/>
          <w:sz w:val="24"/>
          <w:szCs w:val="24"/>
        </w:rPr>
      </w:pPr>
      <w:r w:rsidRPr="003B466F">
        <w:rPr>
          <w:rFonts w:ascii="Times New Roman" w:hAnsi="Times New Roman" w:cs="Times New Roman"/>
          <w:sz w:val="24"/>
          <w:szCs w:val="24"/>
        </w:rPr>
        <w:t xml:space="preserve">Países Bajos: Existe un modelo diferente para la formación de un profesor en los primeros años de la educación secundaria o en los últimos. Para los primeros años, el modelo es concurrente, de 240 ECTS y con una titulación equivalente al grado que engloba todas las partes. Para los últimos años, el modelo es consecutivo, con un grado universitario en alguna disciplina y, posteriormente, un máster de 90 ECTS para la formación en las partes restantes. </w:t>
      </w:r>
    </w:p>
    <w:p w14:paraId="35D58F2E" w14:textId="77777777" w:rsidR="005C5069" w:rsidRPr="003B466F" w:rsidRDefault="005E6590" w:rsidP="003B466F">
      <w:pPr>
        <w:numPr>
          <w:ilvl w:val="0"/>
          <w:numId w:val="4"/>
        </w:numPr>
        <w:jc w:val="both"/>
        <w:rPr>
          <w:rFonts w:ascii="Times New Roman" w:hAnsi="Times New Roman" w:cs="Times New Roman"/>
          <w:sz w:val="24"/>
          <w:szCs w:val="24"/>
        </w:rPr>
      </w:pPr>
      <w:r w:rsidRPr="003B466F">
        <w:rPr>
          <w:rFonts w:ascii="Times New Roman" w:hAnsi="Times New Roman" w:cs="Times New Roman"/>
          <w:sz w:val="24"/>
          <w:szCs w:val="24"/>
        </w:rPr>
        <w:t>Reino Unido: Existen ambas modalidades de formación. Por una parte, existe la opción de un modelo concurrente, donde de forma simultánea al estudio de un grado universitario de tres o cuatro cursos académicos en alguna disciplina se estudia el curso de QTS (</w:t>
      </w:r>
      <w:r w:rsidRPr="003B466F">
        <w:rPr>
          <w:rFonts w:ascii="Times New Roman" w:hAnsi="Times New Roman" w:cs="Times New Roman"/>
          <w:i/>
          <w:sz w:val="24"/>
          <w:szCs w:val="24"/>
        </w:rPr>
        <w:t>Qualified Teacher Status</w:t>
      </w:r>
      <w:r w:rsidRPr="003B466F">
        <w:rPr>
          <w:rFonts w:ascii="Times New Roman" w:hAnsi="Times New Roman" w:cs="Times New Roman"/>
          <w:sz w:val="24"/>
          <w:szCs w:val="24"/>
        </w:rPr>
        <w:t>). Por otra parte, existe también la opción de estudiar primero un grado universitario en alguna disciplina, y realizar posteriormente el PGCE (</w:t>
      </w:r>
      <w:r w:rsidRPr="003B466F">
        <w:rPr>
          <w:rFonts w:ascii="Times New Roman" w:hAnsi="Times New Roman" w:cs="Times New Roman"/>
          <w:i/>
          <w:sz w:val="24"/>
          <w:szCs w:val="24"/>
        </w:rPr>
        <w:t>Postgraduate Certificate in Education</w:t>
      </w:r>
      <w:r w:rsidRPr="003B466F">
        <w:rPr>
          <w:rFonts w:ascii="Times New Roman" w:hAnsi="Times New Roman" w:cs="Times New Roman"/>
          <w:sz w:val="24"/>
          <w:szCs w:val="24"/>
        </w:rPr>
        <w:t xml:space="preserve">), con una duración de un curso académico. </w:t>
      </w:r>
    </w:p>
    <w:p w14:paraId="5CE2B419" w14:textId="77777777" w:rsidR="005C5069" w:rsidRPr="003B466F" w:rsidRDefault="005E6590" w:rsidP="003B466F">
      <w:pPr>
        <w:numPr>
          <w:ilvl w:val="0"/>
          <w:numId w:val="4"/>
        </w:numPr>
        <w:jc w:val="both"/>
        <w:rPr>
          <w:rFonts w:ascii="Times New Roman" w:hAnsi="Times New Roman" w:cs="Times New Roman"/>
          <w:sz w:val="24"/>
          <w:szCs w:val="24"/>
        </w:rPr>
      </w:pPr>
      <w:r w:rsidRPr="003B466F">
        <w:rPr>
          <w:rFonts w:ascii="Times New Roman" w:hAnsi="Times New Roman" w:cs="Times New Roman"/>
          <w:sz w:val="24"/>
          <w:szCs w:val="24"/>
        </w:rPr>
        <w:t xml:space="preserve">Turquía: El modelo principal de formación es un modelo concurrente, en una titulación de cuatro cursos académicos que engloba la formación disciplinar, psicopedagógica, didáctica y práctica. No obstante, existe también la opción de </w:t>
      </w:r>
      <w:r w:rsidRPr="003B466F">
        <w:rPr>
          <w:rFonts w:ascii="Times New Roman" w:hAnsi="Times New Roman" w:cs="Times New Roman"/>
          <w:sz w:val="24"/>
          <w:szCs w:val="24"/>
        </w:rPr>
        <w:lastRenderedPageBreak/>
        <w:t xml:space="preserve">que un titulado universitario en alguna disciplina pueda cursar un programa de formación y certificación pedagógica que le habilite para ser profesor en Educación Secundaria. </w:t>
      </w:r>
    </w:p>
    <w:p w14:paraId="0023FB80" w14:textId="77777777" w:rsidR="005C5069" w:rsidRPr="003B466F" w:rsidRDefault="005E6590" w:rsidP="003B466F">
      <w:pPr>
        <w:numPr>
          <w:ilvl w:val="0"/>
          <w:numId w:val="4"/>
        </w:numPr>
        <w:jc w:val="both"/>
        <w:rPr>
          <w:rFonts w:ascii="Times New Roman" w:hAnsi="Times New Roman" w:cs="Times New Roman"/>
          <w:sz w:val="24"/>
          <w:szCs w:val="24"/>
        </w:rPr>
      </w:pPr>
      <w:r w:rsidRPr="003B466F">
        <w:rPr>
          <w:rFonts w:ascii="Times New Roman" w:hAnsi="Times New Roman" w:cs="Times New Roman"/>
          <w:sz w:val="24"/>
          <w:szCs w:val="24"/>
        </w:rPr>
        <w:t xml:space="preserve">Chile: El modelo mayoritario es un modelo concurrente, a través de carreras de Pedagogía en Educación Media en Matemáticas (o en matemáticas y otra disciplina), con una duración mayoritaria de cinco cursos académicos. Estos programas suelen tener una gran carga disciplinar y psicopedagógica, y la presencia de contenidos didácticos suele ser menor. Existe también la opción, para licenciados en alguna disciplina, de realizar programas de formación pedagógica que se extienden de uno a dos cursos académicos y engloban la formación psicopedagógica, didáctica y práctica. </w:t>
      </w:r>
    </w:p>
    <w:p w14:paraId="7F741DDC" w14:textId="77777777" w:rsidR="005C5069" w:rsidRPr="003B466F" w:rsidRDefault="005E6590" w:rsidP="003B466F">
      <w:pPr>
        <w:numPr>
          <w:ilvl w:val="0"/>
          <w:numId w:val="4"/>
        </w:numPr>
        <w:jc w:val="both"/>
        <w:rPr>
          <w:rFonts w:ascii="Times New Roman" w:hAnsi="Times New Roman" w:cs="Times New Roman"/>
          <w:sz w:val="24"/>
          <w:szCs w:val="24"/>
        </w:rPr>
      </w:pPr>
      <w:r w:rsidRPr="003B466F">
        <w:rPr>
          <w:rFonts w:ascii="Times New Roman" w:hAnsi="Times New Roman" w:cs="Times New Roman"/>
          <w:sz w:val="24"/>
          <w:szCs w:val="24"/>
        </w:rPr>
        <w:t xml:space="preserve">México: El modelo de formación es un modelo concurrente, a través de la titulación de Licenciado en Enseñanza y Aprendizaje de las Matemáticas en Educación Secundaria, que dura cuatro cursos académicos (ocho semestres). Como sucede en el caso de Chile, el programa tiene una gran carga disciplinar y pedagógica, y una presencia mucho menor de la parte propia de la didáctica específica. </w:t>
      </w:r>
    </w:p>
    <w:p w14:paraId="24AA8240" w14:textId="77777777" w:rsidR="005C5069" w:rsidRPr="003B466F" w:rsidRDefault="005E6590" w:rsidP="003B466F">
      <w:pPr>
        <w:numPr>
          <w:ilvl w:val="0"/>
          <w:numId w:val="4"/>
        </w:numPr>
        <w:jc w:val="both"/>
        <w:rPr>
          <w:rFonts w:ascii="Times New Roman" w:hAnsi="Times New Roman" w:cs="Times New Roman"/>
          <w:sz w:val="24"/>
          <w:szCs w:val="24"/>
        </w:rPr>
      </w:pPr>
      <w:r w:rsidRPr="003B466F">
        <w:rPr>
          <w:rFonts w:ascii="Times New Roman" w:hAnsi="Times New Roman" w:cs="Times New Roman"/>
          <w:sz w:val="24"/>
          <w:szCs w:val="24"/>
        </w:rPr>
        <w:t xml:space="preserve">Colombia: El modelo de formación también es un modelo concurrente, a través de una titulación de Licenciado en Matemáticas que engloba la formación disciplinar, psicopedagógica, didáctica y práctica. Su extensión habitual es de cinco cursos académicos (diez semestres). </w:t>
      </w:r>
    </w:p>
    <w:p w14:paraId="3C53A6BE"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Si comparamos la situación de España con algunos de estos países, observamos que países de nuestro entorno cercano como Portugal, Francia o Italia también tienen un modelo consecutivo para formar al futuro profesorado de educación secundaria, aunque en Portugal o en Francia la parte de máster que engloba la formación psicopedagógica, didáctica y práctica tiene una carga de créditos que es el doble de la actual en España (120 ECTS frente a 60). De hecho, España se sitúa en el rango más bajo de extensión de la formación en estas partes.  </w:t>
      </w:r>
    </w:p>
    <w:p w14:paraId="7030AA87"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Como se indica en Arce et al. (2019), algunas características de los modelos consecutivos de formación son la mayor flexibilidad para poder acceder a la profesión docente en diferentes etapas de la vida de una persona y un, a priori, alto conocimiento del contenido disciplinar; aunque en muchos casos con una descompensación a favor de este frente a la formación en aspectos psicopedagógicos, didácticos y prácticos. Como observamos en la relación anterior de características de países, son muchos los países que, teniendo también un modelo concurrente a través de una titulación universitaria que contiene todos los tipos de formación, añaden la opción del modelo consecutivo para quienes, a lo largo de su etapa vital, deciden en un determinado momento incorporarse a la docencia, dotando de mayor flexibilidad a esos sistemas. Por último, una de las desventajas de los modelos consecutivos es la poca integración y fragmentación que suele existir entre los diferentes tipos de formación, especialmente entre la disciplinar y las otras tres partes, lo que dificulta el establecimiento de conexiones entre diferentes aspectos de la formación y de posibles sinergias entre ellos. Este establecimiento de conexiones y sinergias es más fácil de establecer y desarrollar en un modelo concurrente. </w:t>
      </w:r>
    </w:p>
    <w:p w14:paraId="160ADF47"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lastRenderedPageBreak/>
        <w:t xml:space="preserve">Aparte de las características de los programas, es importante tener presentes los efectos que está provocando la alta demanda del grado en Matemáticas y su inserción laboral muy alta y bien remunerada. Este hecho está provocando que posibles estudiantes con una vocación docente en matemáticas no puedan acceder a la carrera por las notas de corte muy altas, que un número menor de graduados en matemáticas accedan al máster frente a otras titulaciones y que exista actualmente una escasez de docentes de matemáticas en secundaria. </w:t>
      </w:r>
    </w:p>
    <w:p w14:paraId="3A245F5D" w14:textId="77777777" w:rsidR="005C5069" w:rsidRPr="003B466F" w:rsidRDefault="005E6590" w:rsidP="003B466F">
      <w:pPr>
        <w:jc w:val="both"/>
        <w:rPr>
          <w:rFonts w:ascii="Times New Roman" w:hAnsi="Times New Roman" w:cs="Times New Roman"/>
          <w:b/>
          <w:sz w:val="24"/>
          <w:szCs w:val="24"/>
        </w:rPr>
      </w:pPr>
      <w:r w:rsidRPr="003B466F">
        <w:rPr>
          <w:rFonts w:ascii="Times New Roman" w:hAnsi="Times New Roman" w:cs="Times New Roman"/>
          <w:sz w:val="24"/>
          <w:szCs w:val="24"/>
        </w:rPr>
        <w:t xml:space="preserve">Para evitar esta escasez, una propuesta que puede ser interesante valorar es que en España, como en otros países que hemos destacado en esta panorámica internacional, pudieran coexistir y complementarse los dos tipos de modelos para acceder a ser docente de matemáticas en secundaria. Es decir, que por una parte siga existiendo un modelo consecutivo, a través de un máster profesionalizante que tuviera la extensión adecuada para poder desarrollar la suficiente formación de tipo psicosociopedagógica, didáctica y práctica (la extensión actual de 60 ECTS se sitúa entre las más bajas según se trasluce de la revisión a nivel internacional) y, por otra parte, que este modelo se complemente con la creación de otro modelo de formación de tipo concurrente. Ese modelo de formación podría adoptar la forma de grado (o de grado más máster, como también sucede en otros países) en profesor de matemáticas en secundaria, donde en la formación se combinen la formación disciplinar en matemáticas (que puede ser equivalente a dos cursos o dos cursos y medio) con la formación general de tipo psicosociopedagógico, la formación específica en didáctica de la matemática y la formación práctica. </w:t>
      </w:r>
    </w:p>
    <w:p w14:paraId="206B51F2" w14:textId="77777777" w:rsidR="005C5069" w:rsidRPr="003B466F" w:rsidRDefault="005E6590" w:rsidP="003B466F">
      <w:pPr>
        <w:jc w:val="both"/>
        <w:rPr>
          <w:rFonts w:ascii="Times New Roman" w:hAnsi="Times New Roman" w:cs="Times New Roman"/>
          <w:b/>
          <w:sz w:val="24"/>
          <w:szCs w:val="24"/>
        </w:rPr>
      </w:pPr>
      <w:r w:rsidRPr="003B466F">
        <w:rPr>
          <w:rFonts w:ascii="Times New Roman" w:hAnsi="Times New Roman" w:cs="Times New Roman"/>
          <w:b/>
          <w:sz w:val="24"/>
          <w:szCs w:val="24"/>
        </w:rPr>
        <w:t>4. Conocimientos y competencias profesionales del profesorado de matemáticas en educación secundaria</w:t>
      </w:r>
    </w:p>
    <w:p w14:paraId="50337E9D"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La importancia reconocida que tiene el papel del docente de matemáticas para el diseño y gestión de unos procesos adecuados de enseñanza y aprendizaje de las matemáticas en cualquier nivel educativo, en concreto en las etapas de educación secundaria obligatoria y bachillerato, han hecho que exista un volumen muy alto y creciente de investigación en Didáctica de la Matemática en la línea del conocimiento y desarrollo profesional del docente de matemáticas, con especial énfasis en lo que se refiere a su formación inicial. Algunas preguntas que siempre están presentes en esta línea de investigación son: ¿Cuáles son los conocimientos tanto matemáticos como de la didáctica específica de las matemáticas que precisa un profesor de matemáticas (en este caso, de educación secundaria) para desarrollar sus competencias profesionales? ¿Cuáles son esas competencias profesionales docentes de las que requiere disponer un profesor de matemáticas (de Educación Secundaria)? La respuesta a estas preguntas no es única, pero la investigación desarrollada en esta línea, y en torno a estas preguntas, ha dado lugar a cierto consenso en torno a algunas claves o componentes, que recogemos a continuación.</w:t>
      </w:r>
    </w:p>
    <w:p w14:paraId="628D34BC"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Una contribución clave y seminal, en relación con la primera pregunta, fue la realizada por Shulman (1986, 1987) al reconocer la existencia del conocimiento didáctico del contenido (</w:t>
      </w:r>
      <w:r w:rsidRPr="003B466F">
        <w:rPr>
          <w:rFonts w:ascii="Times New Roman" w:hAnsi="Times New Roman" w:cs="Times New Roman"/>
          <w:i/>
          <w:sz w:val="24"/>
          <w:szCs w:val="24"/>
        </w:rPr>
        <w:t>pedagogical content knowledge</w:t>
      </w:r>
      <w:r w:rsidRPr="003B466F">
        <w:rPr>
          <w:rFonts w:ascii="Times New Roman" w:hAnsi="Times New Roman" w:cs="Times New Roman"/>
          <w:sz w:val="24"/>
          <w:szCs w:val="24"/>
        </w:rPr>
        <w:t xml:space="preserve">), vinculado inicialmente a una intersección entre el conocimiento del contenido y el conocimiento pedagógico general. A partir de este trabajo, se han desarrollado varios modelos que tratan de caracterizar cuál es el conocimiento matemático y didáctico del contenido matemático que ha de tener o que pone en juego el profesorado de matemáticas para desarrollar su labor profesional de </w:t>
      </w:r>
      <w:r w:rsidRPr="003B466F">
        <w:rPr>
          <w:rFonts w:ascii="Times New Roman" w:hAnsi="Times New Roman" w:cs="Times New Roman"/>
          <w:sz w:val="24"/>
          <w:szCs w:val="24"/>
        </w:rPr>
        <w:lastRenderedPageBreak/>
        <w:t xml:space="preserve">forma adecuada; modelos obtenidos a partir de la observación analítica y reflexión de la práctica de profesorado de matemáticas. Algunos ejemplos de estos modelos son el </w:t>
      </w:r>
      <w:r w:rsidRPr="003B466F">
        <w:rPr>
          <w:rFonts w:ascii="Times New Roman" w:hAnsi="Times New Roman" w:cs="Times New Roman"/>
          <w:i/>
          <w:sz w:val="24"/>
          <w:szCs w:val="24"/>
        </w:rPr>
        <w:t>Conocimiento Matemático para la Enseñanza</w:t>
      </w:r>
      <w:r w:rsidRPr="003B466F">
        <w:rPr>
          <w:rFonts w:ascii="Times New Roman" w:hAnsi="Times New Roman" w:cs="Times New Roman"/>
          <w:sz w:val="24"/>
          <w:szCs w:val="24"/>
        </w:rPr>
        <w:t xml:space="preserve"> (MKT, Ball et al., 2008), el </w:t>
      </w:r>
      <w:r w:rsidRPr="003B466F">
        <w:rPr>
          <w:rFonts w:ascii="Times New Roman" w:hAnsi="Times New Roman" w:cs="Times New Roman"/>
          <w:i/>
          <w:sz w:val="24"/>
          <w:szCs w:val="24"/>
        </w:rPr>
        <w:t>Conocimiento Especializado del Profesor de Matemáticas</w:t>
      </w:r>
      <w:r w:rsidRPr="003B466F">
        <w:rPr>
          <w:rFonts w:ascii="Times New Roman" w:hAnsi="Times New Roman" w:cs="Times New Roman"/>
          <w:sz w:val="24"/>
          <w:szCs w:val="24"/>
        </w:rPr>
        <w:t xml:space="preserve"> (MTSK, Carrillo et al., 2018), el </w:t>
      </w:r>
      <w:r w:rsidRPr="003B466F">
        <w:rPr>
          <w:rFonts w:ascii="Times New Roman" w:hAnsi="Times New Roman" w:cs="Times New Roman"/>
          <w:i/>
          <w:sz w:val="24"/>
          <w:szCs w:val="24"/>
        </w:rPr>
        <w:t>Modelo del Conocimiento y Competencias Didáctico-Matemáticas del Profesor de Matemáticas</w:t>
      </w:r>
      <w:r w:rsidRPr="003B466F">
        <w:rPr>
          <w:rFonts w:ascii="Times New Roman" w:hAnsi="Times New Roman" w:cs="Times New Roman"/>
          <w:sz w:val="24"/>
          <w:szCs w:val="24"/>
        </w:rPr>
        <w:t xml:space="preserve"> (CCDM, Godino et al., 2017) o el </w:t>
      </w:r>
      <w:r w:rsidRPr="003B466F">
        <w:rPr>
          <w:rFonts w:ascii="Times New Roman" w:hAnsi="Times New Roman" w:cs="Times New Roman"/>
          <w:i/>
          <w:sz w:val="24"/>
          <w:szCs w:val="24"/>
        </w:rPr>
        <w:t>Cuarteto de Conocimiento</w:t>
      </w:r>
      <w:r w:rsidRPr="003B466F">
        <w:rPr>
          <w:rFonts w:ascii="Times New Roman" w:hAnsi="Times New Roman" w:cs="Times New Roman"/>
          <w:sz w:val="24"/>
          <w:szCs w:val="24"/>
        </w:rPr>
        <w:t xml:space="preserve"> (KQ, Rowland et al., 2005). </w:t>
      </w:r>
    </w:p>
    <w:p w14:paraId="5E2CF91F"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Estos modelos pueden servir, también, como herramientas que permiten ayudar en la estructuración y organización de los planes de formación inicial del profesorado. Los dos primeros modelos hacen una distinción en dos grandes dominios: el conocimiento del contenido y el conocimiento didáctico del contenido, entendiendo que en la labor docente se movilizarán de forma relacionada conocimientos de ambos dominios. Además, modelos como el MTSK (Carrillo et al., 2018) reconocen explícitamente la importancia de las creencias que tenga un docente sobre las matemáticas y sobre sus procesos de enseñanza-aprendizaje en esa labor de movilización de conocimientos en la práctica. La situación de partida de un estudiante de esta especialidad del máster no es la misma en relación con el conocimiento del contenido y el conocimiento didáctico del contenido. </w:t>
      </w:r>
    </w:p>
    <w:p w14:paraId="7E5DF885"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El modelo de formación consecutivo parte de que un estudiante accede al Máster con una formación matemática que le permite tener, a priori, un buen conocimiento matemático. Esa formación puede englobarse en lo que Ball et al. (2008) llaman un conocimiento común del contenido matemático, pero, como indican estos mismos autores, la naturaleza de la formación matemática que necesita un profesor es distinta, y ese conocimiento común necesita complementarse con otros aspectos del conocimiento del contenido matemático que tienen un carácter más especializado para poder desarrollar de manera adecuada la labor como docente de matemáticas, y que han de ser impartidos desde esa perspectiva. A partir de lo indicado por los modelos antes indicados y por autores como Rico (2004), Font (2011) o el documento de la SEIEM (2022), podemos destacar cuatro aspectos a considerar en esa complementación: </w:t>
      </w:r>
    </w:p>
    <w:p w14:paraId="7613F37C" w14:textId="77777777" w:rsidR="005C5069" w:rsidRPr="003B466F" w:rsidRDefault="005E6590" w:rsidP="003B466F">
      <w:pPr>
        <w:numPr>
          <w:ilvl w:val="0"/>
          <w:numId w:val="11"/>
        </w:numPr>
        <w:jc w:val="both"/>
        <w:rPr>
          <w:rFonts w:ascii="Times New Roman" w:hAnsi="Times New Roman" w:cs="Times New Roman"/>
          <w:sz w:val="24"/>
          <w:szCs w:val="24"/>
        </w:rPr>
      </w:pPr>
      <w:r w:rsidRPr="003B466F">
        <w:rPr>
          <w:rFonts w:ascii="Times New Roman" w:hAnsi="Times New Roman" w:cs="Times New Roman"/>
          <w:sz w:val="24"/>
          <w:szCs w:val="24"/>
        </w:rPr>
        <w:t>La diversidad de significados y representaciones que pueden tener conceptos matemáticos propios de Educación Secundaria. Esos significados incluyen no solo los conceptos y procedimientos implicados sino también las diferentes formas de representarlos así como los modos de uso que aportan esa diversidad de significados.</w:t>
      </w:r>
    </w:p>
    <w:p w14:paraId="7670CEE9" w14:textId="77777777" w:rsidR="005C5069" w:rsidRPr="003B466F" w:rsidRDefault="005E6590" w:rsidP="003B466F">
      <w:pPr>
        <w:numPr>
          <w:ilvl w:val="0"/>
          <w:numId w:val="11"/>
        </w:numPr>
        <w:jc w:val="both"/>
        <w:rPr>
          <w:rFonts w:ascii="Times New Roman" w:hAnsi="Times New Roman" w:cs="Times New Roman"/>
          <w:sz w:val="24"/>
          <w:szCs w:val="24"/>
        </w:rPr>
      </w:pPr>
      <w:r w:rsidRPr="003B466F">
        <w:rPr>
          <w:rFonts w:ascii="Times New Roman" w:hAnsi="Times New Roman" w:cs="Times New Roman"/>
          <w:sz w:val="24"/>
          <w:szCs w:val="24"/>
        </w:rPr>
        <w:t xml:space="preserve">La historia de las matemáticas desde la perspectiva de los procesos de desarrollo de las ideas matemáticas propias de la educación secundaria. </w:t>
      </w:r>
    </w:p>
    <w:p w14:paraId="60BEAC04" w14:textId="77777777" w:rsidR="005C5069" w:rsidRPr="003B466F" w:rsidRDefault="005E6590" w:rsidP="003B466F">
      <w:pPr>
        <w:numPr>
          <w:ilvl w:val="0"/>
          <w:numId w:val="11"/>
        </w:numPr>
        <w:jc w:val="both"/>
        <w:rPr>
          <w:rFonts w:ascii="Times New Roman" w:hAnsi="Times New Roman" w:cs="Times New Roman"/>
          <w:sz w:val="24"/>
          <w:szCs w:val="24"/>
        </w:rPr>
      </w:pPr>
      <w:r w:rsidRPr="003B466F">
        <w:rPr>
          <w:rFonts w:ascii="Times New Roman" w:hAnsi="Times New Roman" w:cs="Times New Roman"/>
          <w:sz w:val="24"/>
          <w:szCs w:val="24"/>
        </w:rPr>
        <w:t xml:space="preserve">Las conexiones de tipo intra-matemático (entre diferentes contenidos matemáticos propios de la educación secundaria) que posibilitarán desarrollar estrategias para resolver problemas matemáticos de diferentes formas, y conexiones de tipo extra-matemático (aplicaciones en otras disciplinas u otros contextos) que permitan desarrollar el uso de las matemáticas en contextos reales y diseñar situaciones de aprendizaje. </w:t>
      </w:r>
    </w:p>
    <w:p w14:paraId="0DD9FA89" w14:textId="77777777" w:rsidR="005C5069" w:rsidRPr="003B466F" w:rsidRDefault="005E6590" w:rsidP="003B466F">
      <w:pPr>
        <w:numPr>
          <w:ilvl w:val="0"/>
          <w:numId w:val="11"/>
        </w:numPr>
        <w:jc w:val="both"/>
        <w:rPr>
          <w:rFonts w:ascii="Times New Roman" w:hAnsi="Times New Roman" w:cs="Times New Roman"/>
          <w:sz w:val="24"/>
          <w:szCs w:val="24"/>
        </w:rPr>
      </w:pPr>
      <w:r w:rsidRPr="003B466F">
        <w:rPr>
          <w:rFonts w:ascii="Times New Roman" w:hAnsi="Times New Roman" w:cs="Times New Roman"/>
          <w:sz w:val="24"/>
          <w:szCs w:val="24"/>
        </w:rPr>
        <w:t xml:space="preserve">El conocimiento y reflexión sobre procesos y prácticas clave al hacer y construir matemáticas: resolver problemas, modelizar, razonar y demostrar, definir, ejemplificar, o comunicar. </w:t>
      </w:r>
    </w:p>
    <w:p w14:paraId="7E6D0E84"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lastRenderedPageBreak/>
        <w:t xml:space="preserve">Por el contrario, la formación en didáctica específica con la que accede un estudiante al máster, en la mayoría de los casos, estará basada únicamente en concepciones o creencias que haya desarrollado sobre la enseñanza y aprendizaje de las matemáticas a partir de sus experiencias como discente. De ahí que el máster precise de un volumen importante de créditos ECTS en el módulo específico para un desarrollo, en un nivel suficiente, del conocimiento didáctico del contenido necesario para poder acceder con garantías a ejercer la labor de profesor de matemáticas en educación secundaria. Si atendemos a los modelos de conocimiento anteriormente mencionados (Ball et al., 2008; Carrillo et al., 2018; Godino et al., 2017), podemos destacar los siguientes aspectos vinculados a conocimiento didáctico que median en el desarrollo de algunas de las competencias profesionales propias de la didáctica de las matemáticas: </w:t>
      </w:r>
    </w:p>
    <w:p w14:paraId="38D2D95C" w14:textId="77777777" w:rsidR="005C5069" w:rsidRPr="003B466F" w:rsidRDefault="005E6590" w:rsidP="003B466F">
      <w:pPr>
        <w:numPr>
          <w:ilvl w:val="0"/>
          <w:numId w:val="6"/>
        </w:numPr>
        <w:jc w:val="both"/>
        <w:rPr>
          <w:rFonts w:ascii="Times New Roman" w:hAnsi="Times New Roman" w:cs="Times New Roman"/>
          <w:sz w:val="24"/>
          <w:szCs w:val="24"/>
        </w:rPr>
      </w:pPr>
      <w:r w:rsidRPr="003B466F">
        <w:rPr>
          <w:rFonts w:ascii="Times New Roman" w:hAnsi="Times New Roman" w:cs="Times New Roman"/>
          <w:sz w:val="24"/>
          <w:szCs w:val="24"/>
        </w:rPr>
        <w:t xml:space="preserve">Teorías de enseñanza de las matemáticas en educación secundaria, tanto de carácter más general como de carácter específico para contenidos o conceptos concretos propios de esta etapa. </w:t>
      </w:r>
    </w:p>
    <w:p w14:paraId="0BE97E8F" w14:textId="77777777" w:rsidR="005C5069" w:rsidRPr="003B466F" w:rsidRDefault="005E6590" w:rsidP="003B466F">
      <w:pPr>
        <w:numPr>
          <w:ilvl w:val="0"/>
          <w:numId w:val="6"/>
        </w:numPr>
        <w:jc w:val="both"/>
        <w:rPr>
          <w:rFonts w:ascii="Times New Roman" w:hAnsi="Times New Roman" w:cs="Times New Roman"/>
          <w:sz w:val="24"/>
          <w:szCs w:val="24"/>
        </w:rPr>
      </w:pPr>
      <w:r w:rsidRPr="003B466F">
        <w:rPr>
          <w:rFonts w:ascii="Times New Roman" w:hAnsi="Times New Roman" w:cs="Times New Roman"/>
          <w:sz w:val="24"/>
          <w:szCs w:val="24"/>
        </w:rPr>
        <w:t xml:space="preserve">Conocimiento de recursos, de diferente tipo y ya sean de carácter material o virtual, para la enseñanza de las matemáticas, y evaluación crítica de sus potencialidades y limitaciones para favorecer la enseñanza-aprendizaje de los contenidos propios de la educación secundaria. </w:t>
      </w:r>
    </w:p>
    <w:p w14:paraId="17A8E927" w14:textId="77777777" w:rsidR="005C5069" w:rsidRPr="003B466F" w:rsidRDefault="005E6590" w:rsidP="003B466F">
      <w:pPr>
        <w:numPr>
          <w:ilvl w:val="0"/>
          <w:numId w:val="6"/>
        </w:numPr>
        <w:jc w:val="both"/>
        <w:rPr>
          <w:rFonts w:ascii="Times New Roman" w:hAnsi="Times New Roman" w:cs="Times New Roman"/>
          <w:sz w:val="24"/>
          <w:szCs w:val="24"/>
        </w:rPr>
      </w:pPr>
      <w:r w:rsidRPr="003B466F">
        <w:rPr>
          <w:rFonts w:ascii="Times New Roman" w:hAnsi="Times New Roman" w:cs="Times New Roman"/>
          <w:sz w:val="24"/>
          <w:szCs w:val="24"/>
        </w:rPr>
        <w:t xml:space="preserve">Estrategias, técnicas, ejemplos o actividades útiles para favorecer la enseñanza de los contenidos matemáticos propios de la educación secundaria. </w:t>
      </w:r>
    </w:p>
    <w:p w14:paraId="46052F4C" w14:textId="77777777" w:rsidR="005C5069" w:rsidRPr="003B466F" w:rsidRDefault="005E6590" w:rsidP="003B466F">
      <w:pPr>
        <w:numPr>
          <w:ilvl w:val="0"/>
          <w:numId w:val="6"/>
        </w:numPr>
        <w:jc w:val="both"/>
        <w:rPr>
          <w:rFonts w:ascii="Times New Roman" w:hAnsi="Times New Roman" w:cs="Times New Roman"/>
          <w:sz w:val="24"/>
          <w:szCs w:val="24"/>
        </w:rPr>
      </w:pPr>
      <w:r w:rsidRPr="003B466F">
        <w:rPr>
          <w:rFonts w:ascii="Times New Roman" w:hAnsi="Times New Roman" w:cs="Times New Roman"/>
          <w:sz w:val="24"/>
          <w:szCs w:val="24"/>
        </w:rPr>
        <w:t xml:space="preserve">Teorías de aprendizaje de las matemáticas en educación secundaria y trayectorias de aprendizaje usuales de contenidos matemáticos concretos de esta etapa educativa. </w:t>
      </w:r>
    </w:p>
    <w:p w14:paraId="4FF43DF1" w14:textId="77777777" w:rsidR="005C5069" w:rsidRPr="003B466F" w:rsidRDefault="005E6590" w:rsidP="003B466F">
      <w:pPr>
        <w:numPr>
          <w:ilvl w:val="0"/>
          <w:numId w:val="6"/>
        </w:numPr>
        <w:jc w:val="both"/>
        <w:rPr>
          <w:rFonts w:ascii="Times New Roman" w:hAnsi="Times New Roman" w:cs="Times New Roman"/>
          <w:sz w:val="24"/>
          <w:szCs w:val="24"/>
        </w:rPr>
      </w:pPr>
      <w:r w:rsidRPr="003B466F">
        <w:rPr>
          <w:rFonts w:ascii="Times New Roman" w:hAnsi="Times New Roman" w:cs="Times New Roman"/>
          <w:sz w:val="24"/>
          <w:szCs w:val="24"/>
        </w:rPr>
        <w:t xml:space="preserve">Fortalezas, dificultades, errores y obstáculos habituales en el aprendizaje de contenidos matemáticos propios de la educación secundaria por parte del estudiantado. </w:t>
      </w:r>
    </w:p>
    <w:p w14:paraId="67F91D64" w14:textId="77777777" w:rsidR="005C5069" w:rsidRPr="003B466F" w:rsidRDefault="005E6590" w:rsidP="003B466F">
      <w:pPr>
        <w:numPr>
          <w:ilvl w:val="0"/>
          <w:numId w:val="6"/>
        </w:numPr>
        <w:jc w:val="both"/>
        <w:rPr>
          <w:rFonts w:ascii="Times New Roman" w:hAnsi="Times New Roman" w:cs="Times New Roman"/>
          <w:sz w:val="24"/>
          <w:szCs w:val="24"/>
        </w:rPr>
      </w:pPr>
      <w:r w:rsidRPr="003B466F">
        <w:rPr>
          <w:rFonts w:ascii="Times New Roman" w:hAnsi="Times New Roman" w:cs="Times New Roman"/>
          <w:sz w:val="24"/>
          <w:szCs w:val="24"/>
        </w:rPr>
        <w:t xml:space="preserve">Conocimiento de estrategias para abordar situaciones afectivo-emocionales vinculadas al trabajo del estudiantado con contenidos matemáticos propios de la educación secundaria. </w:t>
      </w:r>
    </w:p>
    <w:p w14:paraId="5AE9732C" w14:textId="77777777" w:rsidR="005C5069" w:rsidRPr="003B466F" w:rsidRDefault="005E6590" w:rsidP="003B466F">
      <w:pPr>
        <w:numPr>
          <w:ilvl w:val="0"/>
          <w:numId w:val="6"/>
        </w:numPr>
        <w:jc w:val="both"/>
        <w:rPr>
          <w:rFonts w:ascii="Times New Roman" w:hAnsi="Times New Roman" w:cs="Times New Roman"/>
          <w:sz w:val="24"/>
          <w:szCs w:val="24"/>
        </w:rPr>
      </w:pPr>
      <w:r w:rsidRPr="003B466F">
        <w:rPr>
          <w:rFonts w:ascii="Times New Roman" w:hAnsi="Times New Roman" w:cs="Times New Roman"/>
          <w:sz w:val="24"/>
          <w:szCs w:val="24"/>
        </w:rPr>
        <w:t xml:space="preserve">Estrategias y técnicas para el desarrollo efectivo de diálogos e interacciones entre profesor de matemáticas y estudiantado o entre los propios estudiantes en el aprendizaje de las matemáticas en educación secundaria. </w:t>
      </w:r>
    </w:p>
    <w:p w14:paraId="48F443C3" w14:textId="77777777" w:rsidR="005C5069" w:rsidRPr="003B466F" w:rsidRDefault="005E6590" w:rsidP="003B466F">
      <w:pPr>
        <w:numPr>
          <w:ilvl w:val="0"/>
          <w:numId w:val="6"/>
        </w:numPr>
        <w:jc w:val="both"/>
        <w:rPr>
          <w:rFonts w:ascii="Times New Roman" w:hAnsi="Times New Roman" w:cs="Times New Roman"/>
          <w:sz w:val="24"/>
          <w:szCs w:val="24"/>
        </w:rPr>
      </w:pPr>
      <w:r w:rsidRPr="003B466F">
        <w:rPr>
          <w:rFonts w:ascii="Times New Roman" w:hAnsi="Times New Roman" w:cs="Times New Roman"/>
          <w:sz w:val="24"/>
          <w:szCs w:val="24"/>
        </w:rPr>
        <w:t xml:space="preserve">Fundamentos del currículo de matemáticas, conocimiento de su estructura y elementos, y de las bases o referentes teóricos de la didáctica de la matemática en los que se inspira o asienta. </w:t>
      </w:r>
    </w:p>
    <w:p w14:paraId="5DD87571"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El desarrollo y consolidación de contenidos matemáticos y de la didáctica específica como los que hemos indicado en los listados anteriores son una condición necesaria, pero no suficiente, para ejercer la labor de profesor de matemáticas en educación secundaria. Además de poseer estos conocimientos, hay que tener la capacidad para seleccionarlos y aplicarlos en la resolución de situaciones vinculadas con el quehacer profesional de la docencia. Ahí es donde entran las competencias profesionales docentes del profesorado de matemáticas. Como indican Rico (2004) o Font (2011), la formación inicial ha de </w:t>
      </w:r>
      <w:r w:rsidRPr="003B466F">
        <w:rPr>
          <w:rFonts w:ascii="Times New Roman" w:hAnsi="Times New Roman" w:cs="Times New Roman"/>
          <w:sz w:val="24"/>
          <w:szCs w:val="24"/>
        </w:rPr>
        <w:lastRenderedPageBreak/>
        <w:t xml:space="preserve">proporcionar oportunidades para el desarrollo de estas competencias profesionales en un grado suficiente que permita habilitar para el ejercicio de la profesión. Esto puede hacerse, por ejemplo, a través de situaciones hipotéticas, simuladas o estudios de caso, que continúe después con un proceso de reflexión guiada de su propia práctica profesional, desarrollando progresivamente la capacidad para reflexionar sobre ella. Como indican Font et al. (2009), la reflexión sobre su propia práctica como profesores es lo que iniciará a los estudiantes en la práctica profesional, y será también el camino para su progresivo desarrollo profesional. Como señala Schön (1983), la formación debe llevarles a ser capaces de aprender de su propia práctica para mejorarla. Los contenidos didácticos y sobre las matemáticas escolares ayudarán a comprender e interpretar situaciones y problemas ocurridos en la práctica profesional, y poder encontrar soluciones o mejoras a los mismos. </w:t>
      </w:r>
    </w:p>
    <w:p w14:paraId="541E5594" w14:textId="1D77BA32"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¿Cuáles son, entonces, esas competencias profesionales docentes que ha de tener un profesor de matemáticas (de las etapas de educación secundaria y bachillerato)? Como se indica en SEIEM (2022), desde la educación matemática se han realizado numerosas investigaciones a nivel nacional e internacional que han permitido identificar y hacer propuestas de competencias profesionales docentes de un profesor de matemáticas con un carácter específico, frente a competencias profesionales docentes enunciadas de un modo general que sea independiente de la especialidad realizada. Tomando como referencia este propio documento de SEIEM (2022) junto con otros como Rico (2004), Recio (2004), Font (2011)</w:t>
      </w:r>
      <w:r w:rsidR="00A90A89">
        <w:rPr>
          <w:rFonts w:ascii="Times New Roman" w:hAnsi="Times New Roman" w:cs="Times New Roman"/>
          <w:sz w:val="24"/>
          <w:szCs w:val="24"/>
        </w:rPr>
        <w:t>, Niss (2011)</w:t>
      </w:r>
      <w:r w:rsidRPr="003B466F">
        <w:rPr>
          <w:rFonts w:ascii="Times New Roman" w:hAnsi="Times New Roman" w:cs="Times New Roman"/>
          <w:sz w:val="24"/>
          <w:szCs w:val="24"/>
        </w:rPr>
        <w:t xml:space="preserve"> o Godino et al. (2017), reflejamos varias competencias profesionales docentes sobre las cuales existe un mayor consenso. </w:t>
      </w:r>
    </w:p>
    <w:p w14:paraId="2AC5ED54"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Font (2011) realiza una distinción entre dos grandes macrocompetencias: la competencia matemática, por un lado, y la competencia en el análisis didáctico de los procesos de enseñanza y aprendizaje de las matemáticas, por otro. Teniendo presentes las referencias indicadas, proponemos que la formación del futuro profesorado de matemáticas en educación secundaria se focalice en el desarrollo de las siguientes competencias profesionales: </w:t>
      </w:r>
    </w:p>
    <w:p w14:paraId="062E6BD6" w14:textId="77777777" w:rsidR="005C5069" w:rsidRPr="003B466F" w:rsidRDefault="005E6590" w:rsidP="003B466F">
      <w:pPr>
        <w:jc w:val="both"/>
        <w:rPr>
          <w:rFonts w:ascii="Times New Roman" w:hAnsi="Times New Roman" w:cs="Times New Roman"/>
          <w:b/>
          <w:sz w:val="24"/>
          <w:szCs w:val="24"/>
        </w:rPr>
      </w:pPr>
      <w:r w:rsidRPr="003B466F">
        <w:rPr>
          <w:rFonts w:ascii="Times New Roman" w:hAnsi="Times New Roman" w:cs="Times New Roman"/>
          <w:b/>
          <w:sz w:val="24"/>
          <w:szCs w:val="24"/>
        </w:rPr>
        <w:t xml:space="preserve">CP1: Competencia matemática especializada en el contexto de la enseñanza de las matemáticas. </w:t>
      </w:r>
    </w:p>
    <w:p w14:paraId="3DEBACAF" w14:textId="089190DE" w:rsidR="005C5069" w:rsidRPr="003B466F" w:rsidRDefault="005E6590" w:rsidP="003B466F">
      <w:pPr>
        <w:jc w:val="both"/>
        <w:rPr>
          <w:rFonts w:ascii="Times New Roman" w:hAnsi="Times New Roman" w:cs="Times New Roman"/>
          <w:b/>
          <w:sz w:val="24"/>
          <w:szCs w:val="24"/>
        </w:rPr>
      </w:pPr>
      <w:r w:rsidRPr="003B466F">
        <w:rPr>
          <w:rFonts w:ascii="Times New Roman" w:hAnsi="Times New Roman" w:cs="Times New Roman"/>
          <w:sz w:val="24"/>
          <w:szCs w:val="24"/>
        </w:rPr>
        <w:t>Para que el estudiantado de matemáticas en educación secundaria y bachillerato pueda desarrollar su competencia matemática es una condición necesaria, que no suficiente, que el profesorado tenga una competencia matemática sólida y lo suficientemente desarrollada.  El currículo de la LOMLOE</w:t>
      </w:r>
      <w:r w:rsidR="00601F4A">
        <w:rPr>
          <w:rFonts w:ascii="Times New Roman" w:hAnsi="Times New Roman" w:cs="Times New Roman"/>
          <w:sz w:val="24"/>
          <w:szCs w:val="24"/>
        </w:rPr>
        <w:t>,</w:t>
      </w:r>
      <w:r w:rsidRPr="003B466F">
        <w:rPr>
          <w:rFonts w:ascii="Times New Roman" w:hAnsi="Times New Roman" w:cs="Times New Roman"/>
          <w:sz w:val="24"/>
          <w:szCs w:val="24"/>
        </w:rPr>
        <w:t xml:space="preserve"> tanto para la educación secundaria como para el bachillerato, se centra en el desarrollo de competencias específicas como la resolución de problemas, el razonamiento y prueba, las conexiones, la comunicación y la representación, así como las destrezas socioafectivas tanto en el trabajo matemático individual como en el trabajo en equipo. Es decir, la competencia matemática incluye el dominio de los contenidos, su trasposición didáctica y también su aplicación argumentada para la resolución de problemas, en contextos diversos, tanto intra</w:t>
      </w:r>
      <w:r w:rsidR="006F530B">
        <w:rPr>
          <w:rFonts w:ascii="Times New Roman" w:hAnsi="Times New Roman" w:cs="Times New Roman"/>
          <w:sz w:val="24"/>
          <w:szCs w:val="24"/>
        </w:rPr>
        <w:t>-</w:t>
      </w:r>
      <w:r w:rsidRPr="003B466F">
        <w:rPr>
          <w:rFonts w:ascii="Times New Roman" w:hAnsi="Times New Roman" w:cs="Times New Roman"/>
          <w:sz w:val="24"/>
          <w:szCs w:val="24"/>
        </w:rPr>
        <w:t>matemáticos como extra</w:t>
      </w:r>
      <w:r w:rsidR="006F530B">
        <w:rPr>
          <w:rFonts w:ascii="Times New Roman" w:hAnsi="Times New Roman" w:cs="Times New Roman"/>
          <w:sz w:val="24"/>
          <w:szCs w:val="24"/>
        </w:rPr>
        <w:t>-</w:t>
      </w:r>
      <w:r w:rsidRPr="003B466F">
        <w:rPr>
          <w:rFonts w:ascii="Times New Roman" w:hAnsi="Times New Roman" w:cs="Times New Roman"/>
          <w:sz w:val="24"/>
          <w:szCs w:val="24"/>
        </w:rPr>
        <w:t>matemáticos.</w:t>
      </w:r>
    </w:p>
    <w:p w14:paraId="154C9B68" w14:textId="77777777" w:rsidR="005C5069" w:rsidRPr="003B466F" w:rsidRDefault="005E6590" w:rsidP="003B466F">
      <w:pPr>
        <w:jc w:val="both"/>
        <w:rPr>
          <w:rFonts w:ascii="Times New Roman" w:hAnsi="Times New Roman" w:cs="Times New Roman"/>
          <w:b/>
          <w:sz w:val="24"/>
          <w:szCs w:val="24"/>
        </w:rPr>
      </w:pPr>
      <w:r w:rsidRPr="003B466F">
        <w:rPr>
          <w:rFonts w:ascii="Times New Roman" w:hAnsi="Times New Roman" w:cs="Times New Roman"/>
          <w:b/>
          <w:sz w:val="24"/>
          <w:szCs w:val="24"/>
        </w:rPr>
        <w:t xml:space="preserve">CP2: Competencia curricular o de planificación y diseño de secuencias didácticas en matemáticas. </w:t>
      </w:r>
    </w:p>
    <w:p w14:paraId="36F2927D"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lastRenderedPageBreak/>
        <w:t xml:space="preserve">Esta competencia se vincula con prever, planificar, diseñar y reformular secuencias de enseñanza y aprendizaje de las matemáticas en función de los aprendizajes o el desarrollo de competencias pretendido en el estudiantado y atendiendo a la diversidad de este. Involucra, por una parte, ser capaz de analizar, evaluar e implementar los currículos de matemáticas. Por otra parte, involucra también ser capaz de analizar críticamente diferentes propuestas, recursos o materiales didácticos para tomar decisiones sobre su uso, o crear otras propuestas y recursos a partir del análisis de lo existente, las características del estudiantado y los aprendizajes o competencias que se pretenden desarrollar en ellos. </w:t>
      </w:r>
    </w:p>
    <w:p w14:paraId="12EA979C" w14:textId="77777777" w:rsidR="005C5069" w:rsidRPr="003B466F" w:rsidRDefault="005E6590" w:rsidP="003B466F">
      <w:pPr>
        <w:jc w:val="both"/>
        <w:rPr>
          <w:rFonts w:ascii="Times New Roman" w:hAnsi="Times New Roman" w:cs="Times New Roman"/>
          <w:b/>
          <w:sz w:val="24"/>
          <w:szCs w:val="24"/>
        </w:rPr>
      </w:pPr>
      <w:r w:rsidRPr="003B466F">
        <w:rPr>
          <w:rFonts w:ascii="Times New Roman" w:hAnsi="Times New Roman" w:cs="Times New Roman"/>
          <w:b/>
          <w:sz w:val="24"/>
          <w:szCs w:val="24"/>
        </w:rPr>
        <w:t xml:space="preserve">CP3: Competencia de gestión e interpretación del trabajo matemático del estudiantado. </w:t>
      </w:r>
    </w:p>
    <w:p w14:paraId="4CC6F91D"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Esta competencia se vincula con el análisis y la interpretación del conocimiento o la competencia matemática puesta de manifiesto por los estudiantes a través de su actuación o de sus producciones. Esta competencia está muy vinculada a la competencia llamada </w:t>
      </w:r>
      <w:r w:rsidRPr="003B466F">
        <w:rPr>
          <w:rFonts w:ascii="Times New Roman" w:hAnsi="Times New Roman" w:cs="Times New Roman"/>
          <w:i/>
          <w:sz w:val="24"/>
          <w:szCs w:val="24"/>
        </w:rPr>
        <w:t>professional noticing</w:t>
      </w:r>
      <w:r w:rsidRPr="003B466F">
        <w:rPr>
          <w:rFonts w:ascii="Times New Roman" w:hAnsi="Times New Roman" w:cs="Times New Roman"/>
          <w:sz w:val="24"/>
          <w:szCs w:val="24"/>
        </w:rPr>
        <w:t xml:space="preserve"> o mirar profesionalmente el pensamiento matemático del estudiante (Jacobs et al., 2010; Sánchez-Matamoros et al., 2019). La competencia </w:t>
      </w:r>
      <w:r w:rsidRPr="003B466F">
        <w:rPr>
          <w:rFonts w:ascii="Times New Roman" w:hAnsi="Times New Roman" w:cs="Times New Roman"/>
          <w:i/>
          <w:sz w:val="24"/>
          <w:szCs w:val="24"/>
        </w:rPr>
        <w:t>professional noticing</w:t>
      </w:r>
      <w:r w:rsidRPr="003B466F">
        <w:rPr>
          <w:rFonts w:ascii="Times New Roman" w:hAnsi="Times New Roman" w:cs="Times New Roman"/>
          <w:sz w:val="24"/>
          <w:szCs w:val="24"/>
        </w:rPr>
        <w:t xml:space="preserve"> se compone de tres destrezas interrelacionadas: identificar las estrategias o los aspectos matemáticamente relevantes plasmados en el trabajo matemático del estudiante, interpretar el nivel de razonamiento o la comprensión de los contenidos que pone de manifiesto el estudiante con ese trabajo y, por último, decidir qué acciones plantear a partir de lo identificado e interpretado buscando mejorar el proceso de enseñanza-aprendizaje que está teniendo lugar. </w:t>
      </w:r>
    </w:p>
    <w:p w14:paraId="084FA548" w14:textId="77777777" w:rsidR="005C5069" w:rsidRPr="003B466F" w:rsidRDefault="005E6590" w:rsidP="003B466F">
      <w:pPr>
        <w:jc w:val="both"/>
        <w:rPr>
          <w:rFonts w:ascii="Times New Roman" w:hAnsi="Times New Roman" w:cs="Times New Roman"/>
          <w:b/>
          <w:sz w:val="24"/>
          <w:szCs w:val="24"/>
        </w:rPr>
      </w:pPr>
      <w:r w:rsidRPr="003B466F">
        <w:rPr>
          <w:rFonts w:ascii="Times New Roman" w:hAnsi="Times New Roman" w:cs="Times New Roman"/>
          <w:b/>
          <w:sz w:val="24"/>
          <w:szCs w:val="24"/>
        </w:rPr>
        <w:t xml:space="preserve">CP4: Competencia de guía y gestión de la comunicación e interacciones en el aula de matemáticas. </w:t>
      </w:r>
    </w:p>
    <w:p w14:paraId="7284632A"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Esta competencia se vincula con guiar y gestionar los procesos de interacción y comunicación matemática que tienen lugar en la implementación de secuencias didácticas en matemáticas para favorecer el aprendizaje matemático del estudiantado. Involucra, por un lado, conocer y ser capaz de aplicar técnicas y estrategias de gestión e intervención en las interacciones matemáticas para promover la comunicación y aprendizaje de todo el estudiantado, ya sea en el trabajo en pareja o grupo de estudiantes, en momentos de interacción docente - estudiante o docente - grupo aula. Por otro lado, involucra también ser consciente de la existencia de patrones de comunicación, de normas (explícitas o implícitas) o comportamientos esperados entre docente y estudiantado o de circunstancias vinculadas al dominio afectivo en matemáticas (autoconcepto matemático, ansiedad matemática…) que pueden limitar las interacciones y la comunicación significativa en matemáticas, así como ser capaz de aplicar estrategias para tratar de revertirlos. </w:t>
      </w:r>
    </w:p>
    <w:p w14:paraId="5BDD424F" w14:textId="77777777" w:rsidR="005C5069" w:rsidRPr="003B466F" w:rsidRDefault="005E6590" w:rsidP="003B466F">
      <w:pPr>
        <w:jc w:val="both"/>
        <w:rPr>
          <w:rFonts w:ascii="Times New Roman" w:hAnsi="Times New Roman" w:cs="Times New Roman"/>
          <w:b/>
          <w:sz w:val="24"/>
          <w:szCs w:val="24"/>
        </w:rPr>
      </w:pPr>
      <w:r w:rsidRPr="003B466F">
        <w:rPr>
          <w:rFonts w:ascii="Times New Roman" w:hAnsi="Times New Roman" w:cs="Times New Roman"/>
          <w:b/>
          <w:sz w:val="24"/>
          <w:szCs w:val="24"/>
        </w:rPr>
        <w:t xml:space="preserve">CP5: Competencia de evaluación de los aprendizajes matemáticos del estudiantado. </w:t>
      </w:r>
    </w:p>
    <w:p w14:paraId="5245BADF"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Esta competencia se vincula con ser capaz de generar y/o aplicar situaciones, técnicas o instrumentos de evaluación específicos vinculados con los criterios de evaluación curriculares, que permitan al docente obtener información sobre el aprendizaje o las competencias matemáticas desarrolladas por cada estudiante. Esta competencia es especialmente importante en la actualidad, dado que el carácter competencial que tiene la evaluación planteada por la ley LOMLOE (con criterios de evaluación que se derivan de </w:t>
      </w:r>
      <w:r w:rsidRPr="003B466F">
        <w:rPr>
          <w:rFonts w:ascii="Times New Roman" w:hAnsi="Times New Roman" w:cs="Times New Roman"/>
          <w:sz w:val="24"/>
          <w:szCs w:val="24"/>
        </w:rPr>
        <w:lastRenderedPageBreak/>
        <w:t xml:space="preserve">las competencias específicas en matemáticas) supone un desafío con respecto a una concepción más clásica basada en la evaluación directa de conceptos o procedimientos matemáticos. Esta competencia involucra también el ser consciente del rol que tienen los diferentes tipos de evaluación en matemáticas (diagnóstica, formativa, sumativa…) y, en particular, dominar estrategias para proporcionar retroalimentación al estudiantado que les hagan reflexionar sobre sus aprendizajes matemáticos y poder evolucionarlos. </w:t>
      </w:r>
    </w:p>
    <w:p w14:paraId="581EE59C" w14:textId="77777777" w:rsidR="005C5069" w:rsidRPr="003B466F" w:rsidRDefault="005E6590" w:rsidP="003B466F">
      <w:pPr>
        <w:jc w:val="both"/>
        <w:rPr>
          <w:rFonts w:ascii="Times New Roman" w:hAnsi="Times New Roman" w:cs="Times New Roman"/>
          <w:b/>
          <w:sz w:val="24"/>
          <w:szCs w:val="24"/>
        </w:rPr>
      </w:pPr>
      <w:r w:rsidRPr="003B466F">
        <w:rPr>
          <w:rFonts w:ascii="Times New Roman" w:hAnsi="Times New Roman" w:cs="Times New Roman"/>
          <w:b/>
          <w:sz w:val="24"/>
          <w:szCs w:val="24"/>
        </w:rPr>
        <w:t xml:space="preserve">CP6 Competencia digital en matemáticas. </w:t>
      </w:r>
    </w:p>
    <w:p w14:paraId="345B8164" w14:textId="77777777" w:rsidR="005C5069" w:rsidRPr="003B466F" w:rsidRDefault="005E6590" w:rsidP="003B466F">
      <w:pPr>
        <w:jc w:val="both"/>
        <w:rPr>
          <w:rFonts w:ascii="Times New Roman" w:hAnsi="Times New Roman" w:cs="Times New Roman"/>
          <w:b/>
          <w:sz w:val="24"/>
          <w:szCs w:val="24"/>
        </w:rPr>
      </w:pPr>
      <w:r w:rsidRPr="003B466F">
        <w:rPr>
          <w:rFonts w:ascii="Times New Roman" w:hAnsi="Times New Roman" w:cs="Times New Roman"/>
          <w:sz w:val="24"/>
          <w:szCs w:val="24"/>
        </w:rPr>
        <w:t xml:space="preserve">Esta competencia se vincula con usar herramientas informáticas y recursos digitales para ser capaz de resolver tanto situaciones matemáticas como situaciones vinculadas con la enseñanza y aprendizaje de las matemáticas. Esta competencia involucra ser capaz de usar estas herramientas y recursos para resolver problemas matemáticos, así como reflexionar sobre el potencial de estas herramientas y recursos para promover o favorecer el aprendizaje del estudiantado de conceptos matemáticos o el desarrollo de competencias específicas en matemáticas y plantear, si es el caso, secuencias o actividades en ese sentido, que hagan uso de ellos. Ejemplos de herramientas y recursos específicos para la clase de matemáticas pueden ser las calculadoras, los programas de cálculo simbólico o CAS, los programas de geometría dinámica en 2D y 3D o recursos para trabajar el pensamiento computacional en matemáticas. </w:t>
      </w:r>
    </w:p>
    <w:p w14:paraId="357FAC80" w14:textId="77777777" w:rsidR="005C5069" w:rsidRPr="003B466F" w:rsidRDefault="005E6590" w:rsidP="003B466F">
      <w:pPr>
        <w:jc w:val="both"/>
        <w:rPr>
          <w:rFonts w:ascii="Times New Roman" w:hAnsi="Times New Roman" w:cs="Times New Roman"/>
          <w:b/>
          <w:sz w:val="24"/>
          <w:szCs w:val="24"/>
        </w:rPr>
      </w:pPr>
      <w:r w:rsidRPr="003B466F">
        <w:rPr>
          <w:rFonts w:ascii="Times New Roman" w:hAnsi="Times New Roman" w:cs="Times New Roman"/>
          <w:b/>
          <w:sz w:val="24"/>
          <w:szCs w:val="24"/>
        </w:rPr>
        <w:t xml:space="preserve">CP7: Competencia de actualización y desarrollo profesional como profesor de matemáticas. </w:t>
      </w:r>
    </w:p>
    <w:p w14:paraId="7E0975CD" w14:textId="77777777" w:rsidR="005C5069" w:rsidRPr="003B466F" w:rsidRDefault="005E6590" w:rsidP="003B466F">
      <w:pPr>
        <w:jc w:val="both"/>
        <w:rPr>
          <w:rFonts w:ascii="Times New Roman" w:hAnsi="Times New Roman" w:cs="Times New Roman"/>
          <w:b/>
          <w:sz w:val="24"/>
          <w:szCs w:val="24"/>
        </w:rPr>
      </w:pPr>
      <w:r w:rsidRPr="003B466F">
        <w:rPr>
          <w:rFonts w:ascii="Times New Roman" w:hAnsi="Times New Roman" w:cs="Times New Roman"/>
          <w:sz w:val="24"/>
          <w:szCs w:val="24"/>
        </w:rPr>
        <w:t>Esta competencia se vincula con la capacidad para reflexionar y valorar de forma crítica la propia práctica de uno como profesor de matemáticas, buscando a través de ese proceso mejorar y evolucionar dicha práctica. También se vincula con entender la necesidad de la actualización didáctica como docentes de matemáticas, a partir tanto de la formación continua como del análisis de tendencias, de innovaciones didácticas en matemáticas y de propuestas docentes derivadas de la investigación en Didáctica de la Matemática.</w:t>
      </w:r>
    </w:p>
    <w:p w14:paraId="4BF9285E" w14:textId="77777777" w:rsidR="005C5069" w:rsidRPr="003B466F" w:rsidRDefault="005E6590" w:rsidP="003B466F">
      <w:pPr>
        <w:jc w:val="both"/>
        <w:rPr>
          <w:rFonts w:ascii="Times New Roman" w:hAnsi="Times New Roman" w:cs="Times New Roman"/>
          <w:b/>
          <w:sz w:val="24"/>
          <w:szCs w:val="24"/>
        </w:rPr>
      </w:pPr>
      <w:r w:rsidRPr="003B466F">
        <w:rPr>
          <w:rFonts w:ascii="Times New Roman" w:hAnsi="Times New Roman" w:cs="Times New Roman"/>
          <w:b/>
          <w:sz w:val="24"/>
          <w:szCs w:val="24"/>
        </w:rPr>
        <w:t>5. Propuesta de enunciado de resultados de aprendizaje a adquirir en la especialidad de matemáticas del Máster de Secundaria</w:t>
      </w:r>
    </w:p>
    <w:p w14:paraId="308E7165"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5.1. A manera de aclaración</w:t>
      </w:r>
    </w:p>
    <w:p w14:paraId="63A101F6"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La organización de los documentos por competencias y resultados de aprendizaje tiene el inconveniente de que describe las capacidades para abordar tareas de la vida profesional del profesorado de matemáticas sin hacer referencia de manera explícita a los diversos conocimientos necesarios. Estas tareas propias del profesorado de matemáticas (frente a docentes de otras materias) van a exigir poner en juego determinados contenidos de las matemáticas, pero también contenidos de la didáctica de la matemática (frente a otros conocimientos pedagógicos y propios de la didáctica general, que son aplicables a todo el profesorado). Los contenidos de matemáticas (p. ej., suma de monomios o productos notables) aparecen explícitamente en los currículos, y en muchos casos forman parte de un saber común en la sociedad, por lo que cualquier actor vinculado con el proceso educativo los tendrá en cuenta de forma explícita o implícita, aunque no los mencionemos explícitamente en este documento. Sin embargo, no sucede lo mismo con los contenidos de didáctica de la matemática (p. ej., la dificultad para aceptar la falta de clausura o la sobregeneralización de la propiedad distributiva), pues estos no forman parte de un saber </w:t>
      </w:r>
      <w:r w:rsidRPr="003B466F">
        <w:rPr>
          <w:rFonts w:ascii="Times New Roman" w:hAnsi="Times New Roman" w:cs="Times New Roman"/>
          <w:sz w:val="24"/>
          <w:szCs w:val="24"/>
        </w:rPr>
        <w:lastRenderedPageBreak/>
        <w:t>socialmente compartido, y su uso en la toma de decisiones en situaciones de enseñanza y aprendizaje de las matemáticas rara vez se hace explícito, lo que puede conducir a su invisibilidad. El alumnado recibe conocimiento matemático (la parte visible) organizado a partir del conocimiento en didáctica de la matemática del profesorado (la parte invisible). Como el conocimiento de la didáctica de la matemática no se hace necesariamente explícito, un observador externo podría pensar que no existe.</w:t>
      </w:r>
    </w:p>
    <w:p w14:paraId="32D52524"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Teniendo esto en cuenta, la propuesta de enunciados de resultados de aprendizaje que vamos a realizar en el apartado 5.2, a partir de las competencias profesionales señaladas en el apartado 4, no da realmente una idea de cuáles son las necesidades de formación de un docente ideal de matemáticas en educación secundaria, en cuanto al conocimiento propio de la didáctica de la matemática del que debe disponer. Para visibilizar ese conocimiento de la didáctica de la matemática necesario para la resolución de situaciones vinculadas a los resultados de aprendizaje enunciados, hubiera resultado pertinente incluir junto a ellos ejemplos que pusieran de manifiesto la complejidad asociada al contenido de la didáctica de la matemática y su uso en esa toma de decisiones en situaciones de aula de matemáticas. Pero un texto de este calibre hubiera exigido demasiado espacio.</w:t>
      </w:r>
    </w:p>
    <w:p w14:paraId="35FEA9B3"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A manera de ilustración, planteamos a continuación un ejemplo, en un caso intencionadamente simplificado. Ante la expresión 4x+5yz, un estudiante da la respuesta incorrecta 9xyz. Desde el punto de vista de conocimiento matemático, lo anterior es un error (CP1: </w:t>
      </w:r>
      <w:r w:rsidRPr="003B466F">
        <w:rPr>
          <w:rFonts w:ascii="Times New Roman" w:hAnsi="Times New Roman" w:cs="Times New Roman"/>
          <w:i/>
          <w:sz w:val="24"/>
          <w:szCs w:val="24"/>
        </w:rPr>
        <w:t>Competencia matemática especializada en el contexto de la enseñanza de las matemáticas)</w:t>
      </w:r>
      <w:r w:rsidRPr="003B466F">
        <w:rPr>
          <w:rFonts w:ascii="Times New Roman" w:hAnsi="Times New Roman" w:cs="Times New Roman"/>
          <w:sz w:val="24"/>
          <w:szCs w:val="24"/>
        </w:rPr>
        <w:t xml:space="preserve">. A partir de aquí, el conocimiento de la didáctica de la matemática (no de la didáctica general ni de la matemática) permite dar una explicación e interpretación plausible del error cometido: la incapacidad para aceptar la falta de clausura (CP3: </w:t>
      </w:r>
      <w:r w:rsidRPr="003B466F">
        <w:rPr>
          <w:rFonts w:ascii="Times New Roman" w:hAnsi="Times New Roman" w:cs="Times New Roman"/>
          <w:i/>
          <w:sz w:val="24"/>
          <w:szCs w:val="24"/>
        </w:rPr>
        <w:t>Competencia de gestión e interpretación del trabajo matemático del estudiantado</w:t>
      </w:r>
      <w:r w:rsidRPr="003B466F">
        <w:rPr>
          <w:rFonts w:ascii="Times New Roman" w:hAnsi="Times New Roman" w:cs="Times New Roman"/>
          <w:sz w:val="24"/>
          <w:szCs w:val="24"/>
        </w:rPr>
        <w:t xml:space="preserve">). Además, el conocimiento de la didáctica de la matemática permite al docente concluir la posibilidad de que el estudiante cometa otros errores que son consecuencia de una tendencia más general, que agrupa a varios errores, que se conoce como la </w:t>
      </w:r>
      <w:r w:rsidRPr="003B466F">
        <w:rPr>
          <w:rFonts w:ascii="Times New Roman" w:hAnsi="Times New Roman" w:cs="Times New Roman"/>
          <w:i/>
          <w:sz w:val="24"/>
          <w:szCs w:val="24"/>
        </w:rPr>
        <w:t>tendencia a la acción</w:t>
      </w:r>
      <w:r w:rsidRPr="003B466F">
        <w:rPr>
          <w:rFonts w:ascii="Times New Roman" w:hAnsi="Times New Roman" w:cs="Times New Roman"/>
          <w:sz w:val="24"/>
          <w:szCs w:val="24"/>
        </w:rPr>
        <w:t xml:space="preserve">, y que es el origen de la incapacidad para aceptar la falta de clausura. La identificación del origen del error posibilita realizar una evaluación cualitativa, individualizada y formativa, que va mucho más allá de la distinción entre correcto e incorrecto que se derivaría de aplicar el conocimiento matemático (CP5: </w:t>
      </w:r>
      <w:r w:rsidRPr="003B466F">
        <w:rPr>
          <w:rFonts w:ascii="Times New Roman" w:hAnsi="Times New Roman" w:cs="Times New Roman"/>
          <w:i/>
          <w:sz w:val="24"/>
          <w:szCs w:val="24"/>
        </w:rPr>
        <w:t>Competencia de evaluación de los aprendizajes matemáticos del estudiantado</w:t>
      </w:r>
      <w:r w:rsidRPr="003B466F">
        <w:rPr>
          <w:rFonts w:ascii="Times New Roman" w:hAnsi="Times New Roman" w:cs="Times New Roman"/>
          <w:sz w:val="24"/>
          <w:szCs w:val="24"/>
        </w:rPr>
        <w:t xml:space="preserve">). Desde esta evaluación, se pueden plantear secuencias de instrucción personalizadas a las características del sujeto para superar el error y su origen (CP2: </w:t>
      </w:r>
      <w:r w:rsidRPr="003B466F">
        <w:rPr>
          <w:rFonts w:ascii="Times New Roman" w:hAnsi="Times New Roman" w:cs="Times New Roman"/>
          <w:i/>
          <w:sz w:val="24"/>
          <w:szCs w:val="24"/>
        </w:rPr>
        <w:t>Competencia curricular o de planificación y diseño de secuencias didácticas en matemáticas</w:t>
      </w:r>
      <w:r w:rsidRPr="003B466F">
        <w:rPr>
          <w:rFonts w:ascii="Times New Roman" w:hAnsi="Times New Roman" w:cs="Times New Roman"/>
          <w:sz w:val="24"/>
          <w:szCs w:val="24"/>
        </w:rPr>
        <w:t xml:space="preserve">). Pero, además, la investigación en didáctica de la matemática ha generado evidencias de que la tendencia a la acción es un obstáculo didáctico que es consecuencia de la organización de la instrucción aritmética previa. Esto ha dado lugar a una importante línea de investigación centrada en la introducción temprana del álgebra (conocida como </w:t>
      </w:r>
      <w:r w:rsidRPr="003B466F">
        <w:rPr>
          <w:rFonts w:ascii="Times New Roman" w:hAnsi="Times New Roman" w:cs="Times New Roman"/>
          <w:i/>
          <w:sz w:val="24"/>
          <w:szCs w:val="24"/>
        </w:rPr>
        <w:t>early algebra</w:t>
      </w:r>
      <w:r w:rsidRPr="003B466F">
        <w:rPr>
          <w:rFonts w:ascii="Times New Roman" w:hAnsi="Times New Roman" w:cs="Times New Roman"/>
          <w:sz w:val="24"/>
          <w:szCs w:val="24"/>
        </w:rPr>
        <w:t xml:space="preserve">), la cual ha permitido introducir nuevas metodologías de la enseñanza del álgebra (CP2, CP7: </w:t>
      </w:r>
      <w:r w:rsidRPr="003B466F">
        <w:rPr>
          <w:rFonts w:ascii="Times New Roman" w:hAnsi="Times New Roman" w:cs="Times New Roman"/>
          <w:i/>
          <w:sz w:val="24"/>
          <w:szCs w:val="24"/>
        </w:rPr>
        <w:t>Competencia de actualización y desarrollo profesional como profesor de matemáticas</w:t>
      </w:r>
      <w:r w:rsidRPr="003B466F">
        <w:rPr>
          <w:rFonts w:ascii="Times New Roman" w:hAnsi="Times New Roman" w:cs="Times New Roman"/>
          <w:sz w:val="24"/>
          <w:szCs w:val="24"/>
        </w:rPr>
        <w:t xml:space="preserve">). </w:t>
      </w:r>
    </w:p>
    <w:p w14:paraId="05C106C8"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El anterior ejemplo ha pretendido poner de manifiesto que la aplicación de las competencias profesionales propias del profesorado de matemáticas en educación secundaria exige el uso de conocimiento de la didáctica de la matemática. Ejemplos como el anterior pueblan las aulas donde se forma actualmente el profesorado de matemáticas. </w:t>
      </w:r>
      <w:r w:rsidRPr="003B466F">
        <w:rPr>
          <w:rFonts w:ascii="Times New Roman" w:hAnsi="Times New Roman" w:cs="Times New Roman"/>
          <w:sz w:val="24"/>
          <w:szCs w:val="24"/>
        </w:rPr>
        <w:lastRenderedPageBreak/>
        <w:t>Sin embargo, como ya hemos señalado, la descripción del conocimiento de didáctica de la matemática que debería poseer el profesorado de secundaria sería demasiado extensa como para incluirla en este documento. Como consecuencia, en el apartado 5.2 describiremos los resultados de aprendizaje que los futuros profesores de matemáticas en secundaria deberían adquirir, pero sin detallar ejemplos como el anterior.</w:t>
      </w:r>
    </w:p>
    <w:p w14:paraId="592DD676"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5.2. Resultados de aprendizaje a adquirir en la especialidad de matemáticas</w:t>
      </w:r>
    </w:p>
    <w:p w14:paraId="4E89425C"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Presentamos en este apartado una propuesta de enunciados de resultados de aprendizaje que han de adquirir los futuros profesores de matemáticas en secundaria durante su formación inicial, con especial foco en el máster profesionalizante y su especialidad de matemáticas. Para ello, organizaremos los enunciados partiendo de las siete competencias profesionales propuestas en el apartado 4, que se toman como base para organizar la presentación de estos enunciados. </w:t>
      </w:r>
    </w:p>
    <w:p w14:paraId="02C3A6EE"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La competencia profesional CP1, </w:t>
      </w:r>
      <w:r w:rsidRPr="003B466F">
        <w:rPr>
          <w:rFonts w:ascii="Times New Roman" w:hAnsi="Times New Roman" w:cs="Times New Roman"/>
          <w:b/>
          <w:sz w:val="24"/>
          <w:szCs w:val="24"/>
        </w:rPr>
        <w:t>competencia matemática especializada en el contexto de la enseñanza de las matemáticas,</w:t>
      </w:r>
      <w:r w:rsidRPr="003B466F">
        <w:rPr>
          <w:rFonts w:ascii="Times New Roman" w:hAnsi="Times New Roman" w:cs="Times New Roman"/>
          <w:sz w:val="24"/>
          <w:szCs w:val="24"/>
        </w:rPr>
        <w:t xml:space="preserve"> se concreta en los siguientes resultados de aprendizaje:</w:t>
      </w:r>
    </w:p>
    <w:p w14:paraId="26E7B455" w14:textId="77777777" w:rsidR="005C5069" w:rsidRPr="003B466F" w:rsidRDefault="005E6590" w:rsidP="003B466F">
      <w:pPr>
        <w:numPr>
          <w:ilvl w:val="0"/>
          <w:numId w:val="7"/>
        </w:numPr>
        <w:jc w:val="both"/>
        <w:rPr>
          <w:rFonts w:ascii="Times New Roman" w:hAnsi="Times New Roman" w:cs="Times New Roman"/>
          <w:sz w:val="24"/>
          <w:szCs w:val="24"/>
        </w:rPr>
      </w:pPr>
      <w:r w:rsidRPr="003B466F">
        <w:rPr>
          <w:rFonts w:ascii="Times New Roman" w:hAnsi="Times New Roman" w:cs="Times New Roman"/>
          <w:sz w:val="24"/>
          <w:szCs w:val="24"/>
        </w:rPr>
        <w:t xml:space="preserve">Conocer los sentidos matemáticos (numérico, de la medida, espacial, algebraico, estocástico y socioafectivo) y sus componentes fundamentales así como la relación entre ellos. </w:t>
      </w:r>
    </w:p>
    <w:p w14:paraId="21FDD961" w14:textId="77777777" w:rsidR="005C5069" w:rsidRPr="003B466F" w:rsidRDefault="005E6590" w:rsidP="003B466F">
      <w:pPr>
        <w:numPr>
          <w:ilvl w:val="0"/>
          <w:numId w:val="7"/>
        </w:numPr>
        <w:jc w:val="both"/>
        <w:rPr>
          <w:rFonts w:ascii="Times New Roman" w:hAnsi="Times New Roman" w:cs="Times New Roman"/>
          <w:sz w:val="24"/>
          <w:szCs w:val="24"/>
        </w:rPr>
      </w:pPr>
      <w:r w:rsidRPr="003B466F">
        <w:rPr>
          <w:rFonts w:ascii="Times New Roman" w:hAnsi="Times New Roman" w:cs="Times New Roman"/>
          <w:sz w:val="24"/>
          <w:szCs w:val="24"/>
        </w:rPr>
        <w:t xml:space="preserve">Comprender y manejar con solvencia los diferentes significados y representaciones que tienen los conceptos matemáticos propios de la educación secundaria para poder plantear situaciones ricas y variadas que promuevan su aprendizaje por el estudiantado. </w:t>
      </w:r>
    </w:p>
    <w:p w14:paraId="22892712" w14:textId="77777777" w:rsidR="005C5069" w:rsidRPr="003B466F" w:rsidRDefault="005E6590" w:rsidP="003B466F">
      <w:pPr>
        <w:numPr>
          <w:ilvl w:val="0"/>
          <w:numId w:val="7"/>
        </w:numPr>
        <w:jc w:val="both"/>
        <w:rPr>
          <w:rFonts w:ascii="Times New Roman" w:hAnsi="Times New Roman" w:cs="Times New Roman"/>
          <w:sz w:val="24"/>
          <w:szCs w:val="24"/>
        </w:rPr>
      </w:pPr>
      <w:r w:rsidRPr="003B466F">
        <w:rPr>
          <w:rFonts w:ascii="Times New Roman" w:hAnsi="Times New Roman" w:cs="Times New Roman"/>
          <w:sz w:val="24"/>
          <w:szCs w:val="24"/>
        </w:rPr>
        <w:t xml:space="preserve">Conocer los procesos históricos de desarrollo de las ideas y conceptos matemáticos propios de la educación secundaria y reflexionar sobre las relaciones existentes entre esos procesos históricos y el aprendizaje de estas ideas y conceptos por el estudiantado. </w:t>
      </w:r>
    </w:p>
    <w:p w14:paraId="02ACA64C" w14:textId="77777777" w:rsidR="005C5069" w:rsidRPr="003B466F" w:rsidRDefault="005E6590" w:rsidP="003B466F">
      <w:pPr>
        <w:numPr>
          <w:ilvl w:val="0"/>
          <w:numId w:val="7"/>
        </w:numPr>
        <w:jc w:val="both"/>
        <w:rPr>
          <w:rFonts w:ascii="Times New Roman" w:hAnsi="Times New Roman" w:cs="Times New Roman"/>
          <w:sz w:val="24"/>
          <w:szCs w:val="24"/>
        </w:rPr>
      </w:pPr>
      <w:r w:rsidRPr="003B466F">
        <w:rPr>
          <w:rFonts w:ascii="Times New Roman" w:hAnsi="Times New Roman" w:cs="Times New Roman"/>
          <w:sz w:val="24"/>
          <w:szCs w:val="24"/>
        </w:rPr>
        <w:t xml:space="preserve">Entender las matemáticas como una red tupida y conectada de conceptos y procedimientos, en el ámbito de la educación secundaria, y aplicar dicha red para poder generar una diversidad de planteamientos y estrategias de resolución de situaciones y problemas matemáticos. </w:t>
      </w:r>
    </w:p>
    <w:p w14:paraId="34747366" w14:textId="72621B8F" w:rsidR="005C5069" w:rsidRPr="003B466F" w:rsidRDefault="005E6590" w:rsidP="003B466F">
      <w:pPr>
        <w:numPr>
          <w:ilvl w:val="0"/>
          <w:numId w:val="7"/>
        </w:numPr>
        <w:jc w:val="both"/>
        <w:rPr>
          <w:rFonts w:ascii="Times New Roman" w:hAnsi="Times New Roman" w:cs="Times New Roman"/>
          <w:sz w:val="24"/>
          <w:szCs w:val="24"/>
        </w:rPr>
      </w:pPr>
      <w:r w:rsidRPr="003B466F">
        <w:rPr>
          <w:rFonts w:ascii="Times New Roman" w:hAnsi="Times New Roman" w:cs="Times New Roman"/>
          <w:sz w:val="24"/>
          <w:szCs w:val="24"/>
        </w:rPr>
        <w:t>Ser capaz de aplicar los contenidos y sentidos propios de la educación secundaria para resolver de forma argumentada situaciones y problemas en contextos tanto intra</w:t>
      </w:r>
      <w:r w:rsidR="006F530B">
        <w:rPr>
          <w:rFonts w:ascii="Times New Roman" w:hAnsi="Times New Roman" w:cs="Times New Roman"/>
          <w:sz w:val="24"/>
          <w:szCs w:val="24"/>
        </w:rPr>
        <w:t>-</w:t>
      </w:r>
      <w:r w:rsidRPr="003B466F">
        <w:rPr>
          <w:rFonts w:ascii="Times New Roman" w:hAnsi="Times New Roman" w:cs="Times New Roman"/>
          <w:sz w:val="24"/>
          <w:szCs w:val="24"/>
        </w:rPr>
        <w:t>matemáticos como extra</w:t>
      </w:r>
      <w:r w:rsidR="006F530B">
        <w:rPr>
          <w:rFonts w:ascii="Times New Roman" w:hAnsi="Times New Roman" w:cs="Times New Roman"/>
          <w:sz w:val="24"/>
          <w:szCs w:val="24"/>
        </w:rPr>
        <w:t>-</w:t>
      </w:r>
      <w:r w:rsidRPr="003B466F">
        <w:rPr>
          <w:rFonts w:ascii="Times New Roman" w:hAnsi="Times New Roman" w:cs="Times New Roman"/>
          <w:sz w:val="24"/>
          <w:szCs w:val="24"/>
        </w:rPr>
        <w:t xml:space="preserve">matemáticos, aplicando adecuadamente procesos de matematización y/o de modelización, así como para formular estas situaciones y problemas en un contexto escolar.  </w:t>
      </w:r>
    </w:p>
    <w:p w14:paraId="727BD5F6" w14:textId="77777777" w:rsidR="005C5069" w:rsidRPr="003B466F" w:rsidRDefault="005E6590" w:rsidP="003B466F">
      <w:pPr>
        <w:numPr>
          <w:ilvl w:val="0"/>
          <w:numId w:val="7"/>
        </w:numPr>
        <w:jc w:val="both"/>
        <w:rPr>
          <w:rFonts w:ascii="Times New Roman" w:hAnsi="Times New Roman" w:cs="Times New Roman"/>
          <w:sz w:val="24"/>
          <w:szCs w:val="24"/>
        </w:rPr>
      </w:pPr>
      <w:r w:rsidRPr="003B466F">
        <w:rPr>
          <w:rFonts w:ascii="Times New Roman" w:hAnsi="Times New Roman" w:cs="Times New Roman"/>
          <w:sz w:val="24"/>
          <w:szCs w:val="24"/>
        </w:rPr>
        <w:t>Conocer y ser consciente del rol de procesos como razonar y demostrar, definir, ejemplificar, modelizar o resolver problemas en la construcción y el desarrollo del conocimiento matemático.</w:t>
      </w:r>
    </w:p>
    <w:p w14:paraId="13CC4145" w14:textId="77777777" w:rsidR="005C5069" w:rsidRPr="003B466F" w:rsidRDefault="005E6590" w:rsidP="003B466F">
      <w:pPr>
        <w:numPr>
          <w:ilvl w:val="0"/>
          <w:numId w:val="7"/>
        </w:numPr>
        <w:jc w:val="both"/>
        <w:rPr>
          <w:rFonts w:ascii="Times New Roman" w:hAnsi="Times New Roman" w:cs="Times New Roman"/>
          <w:sz w:val="24"/>
          <w:szCs w:val="24"/>
        </w:rPr>
      </w:pPr>
      <w:r w:rsidRPr="003B466F">
        <w:rPr>
          <w:rFonts w:ascii="Times New Roman" w:hAnsi="Times New Roman" w:cs="Times New Roman"/>
          <w:sz w:val="24"/>
          <w:szCs w:val="24"/>
        </w:rPr>
        <w:t xml:space="preserve">Comunicar conceptos, propiedades y procedimientos relativos a los contenidos y sentidos propios de la educación secundaria haciendo uso de distintos sistemas de </w:t>
      </w:r>
      <w:r w:rsidRPr="003B466F">
        <w:rPr>
          <w:rFonts w:ascii="Times New Roman" w:hAnsi="Times New Roman" w:cs="Times New Roman"/>
          <w:sz w:val="24"/>
          <w:szCs w:val="24"/>
        </w:rPr>
        <w:lastRenderedPageBreak/>
        <w:t xml:space="preserve">representación y comprendiendo el papel del lenguaje en el aprendizaje y desarrollo matemático. </w:t>
      </w:r>
    </w:p>
    <w:p w14:paraId="1DF0B422"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Para la competencia profesional CP2, </w:t>
      </w:r>
      <w:r w:rsidRPr="003B466F">
        <w:rPr>
          <w:rFonts w:ascii="Times New Roman" w:hAnsi="Times New Roman" w:cs="Times New Roman"/>
          <w:b/>
          <w:sz w:val="24"/>
          <w:szCs w:val="24"/>
        </w:rPr>
        <w:t>competencia</w:t>
      </w:r>
      <w:r w:rsidRPr="003B466F">
        <w:rPr>
          <w:rFonts w:ascii="Times New Roman" w:hAnsi="Times New Roman" w:cs="Times New Roman"/>
          <w:sz w:val="24"/>
          <w:szCs w:val="24"/>
        </w:rPr>
        <w:t xml:space="preserve"> </w:t>
      </w:r>
      <w:r w:rsidRPr="003B466F">
        <w:rPr>
          <w:rFonts w:ascii="Times New Roman" w:hAnsi="Times New Roman" w:cs="Times New Roman"/>
          <w:b/>
          <w:sz w:val="24"/>
          <w:szCs w:val="24"/>
        </w:rPr>
        <w:t xml:space="preserve">curricular o de planificación y diseño de secuencias didácticas en matemáticas, </w:t>
      </w:r>
      <w:r w:rsidRPr="003B466F">
        <w:rPr>
          <w:rFonts w:ascii="Times New Roman" w:hAnsi="Times New Roman" w:cs="Times New Roman"/>
          <w:sz w:val="24"/>
          <w:szCs w:val="24"/>
        </w:rPr>
        <w:t>se proponen los siguientes resultados de aprendizaje:</w:t>
      </w:r>
    </w:p>
    <w:p w14:paraId="363B3B71" w14:textId="6B098FB4" w:rsidR="005C5069" w:rsidRPr="003B466F" w:rsidRDefault="005E6590" w:rsidP="003B466F">
      <w:pPr>
        <w:numPr>
          <w:ilvl w:val="0"/>
          <w:numId w:val="5"/>
        </w:numPr>
        <w:jc w:val="both"/>
        <w:rPr>
          <w:rFonts w:ascii="Times New Roman" w:hAnsi="Times New Roman" w:cs="Times New Roman"/>
          <w:sz w:val="24"/>
          <w:szCs w:val="24"/>
        </w:rPr>
      </w:pPr>
      <w:r w:rsidRPr="003B466F">
        <w:rPr>
          <w:rFonts w:ascii="Times New Roman" w:hAnsi="Times New Roman" w:cs="Times New Roman"/>
          <w:sz w:val="24"/>
          <w:szCs w:val="24"/>
        </w:rPr>
        <w:t xml:space="preserve">Conocer y analizar los elementos del currículo matemático oficial en la etapa de secundaria (objetivos didácticos, competencias específicas en matemáticas, contenidos de </w:t>
      </w:r>
      <w:r w:rsidR="005E4B2C" w:rsidRPr="003B466F">
        <w:rPr>
          <w:rFonts w:ascii="Times New Roman" w:hAnsi="Times New Roman" w:cs="Times New Roman"/>
          <w:sz w:val="24"/>
          <w:szCs w:val="24"/>
        </w:rPr>
        <w:t>enseñanza</w:t>
      </w:r>
      <w:r w:rsidRPr="003B466F">
        <w:rPr>
          <w:rFonts w:ascii="Times New Roman" w:hAnsi="Times New Roman" w:cs="Times New Roman"/>
          <w:sz w:val="24"/>
          <w:szCs w:val="24"/>
        </w:rPr>
        <w:t xml:space="preserve"> y criterios de </w:t>
      </w:r>
      <w:r w:rsidR="005E4B2C" w:rsidRPr="003B466F">
        <w:rPr>
          <w:rFonts w:ascii="Times New Roman" w:hAnsi="Times New Roman" w:cs="Times New Roman"/>
          <w:sz w:val="24"/>
          <w:szCs w:val="24"/>
        </w:rPr>
        <w:t>evaluación</w:t>
      </w:r>
      <w:r w:rsidRPr="003B466F">
        <w:rPr>
          <w:rFonts w:ascii="Times New Roman" w:hAnsi="Times New Roman" w:cs="Times New Roman"/>
          <w:sz w:val="24"/>
          <w:szCs w:val="24"/>
        </w:rPr>
        <w:t xml:space="preserve">), estableciendo correspondencias y valorando la coherencia de </w:t>
      </w:r>
      <w:r w:rsidR="00662F76" w:rsidRPr="003B466F">
        <w:rPr>
          <w:rFonts w:ascii="Times New Roman" w:hAnsi="Times New Roman" w:cs="Times New Roman"/>
          <w:sz w:val="24"/>
          <w:szCs w:val="24"/>
        </w:rPr>
        <w:t>estos</w:t>
      </w:r>
      <w:r w:rsidRPr="003B466F">
        <w:rPr>
          <w:rFonts w:ascii="Times New Roman" w:hAnsi="Times New Roman" w:cs="Times New Roman"/>
          <w:sz w:val="24"/>
          <w:szCs w:val="24"/>
        </w:rPr>
        <w:t>.</w:t>
      </w:r>
    </w:p>
    <w:p w14:paraId="196435A5" w14:textId="77777777" w:rsidR="005C5069" w:rsidRPr="003B466F" w:rsidRDefault="005E6590" w:rsidP="003B466F">
      <w:pPr>
        <w:numPr>
          <w:ilvl w:val="0"/>
          <w:numId w:val="5"/>
        </w:numPr>
        <w:jc w:val="both"/>
        <w:rPr>
          <w:rFonts w:ascii="Times New Roman" w:hAnsi="Times New Roman" w:cs="Times New Roman"/>
          <w:sz w:val="24"/>
          <w:szCs w:val="24"/>
        </w:rPr>
      </w:pPr>
      <w:r w:rsidRPr="003B466F">
        <w:rPr>
          <w:rFonts w:ascii="Times New Roman" w:hAnsi="Times New Roman" w:cs="Times New Roman"/>
          <w:sz w:val="24"/>
          <w:szCs w:val="24"/>
        </w:rPr>
        <w:t xml:space="preserve">Ser capaz de transformar el currículo de matemáticas en secundaria en unidades didácticas y situaciones de aprendizaje adecuadas para el aprendizaje de las matemáticas. </w:t>
      </w:r>
    </w:p>
    <w:p w14:paraId="346ABB61" w14:textId="775B3A38" w:rsidR="005C5069" w:rsidRPr="003B466F" w:rsidRDefault="005E6590" w:rsidP="003B466F">
      <w:pPr>
        <w:numPr>
          <w:ilvl w:val="0"/>
          <w:numId w:val="5"/>
        </w:numPr>
        <w:jc w:val="both"/>
        <w:rPr>
          <w:rFonts w:ascii="Times New Roman" w:hAnsi="Times New Roman" w:cs="Times New Roman"/>
          <w:sz w:val="24"/>
          <w:szCs w:val="24"/>
        </w:rPr>
      </w:pPr>
      <w:r w:rsidRPr="003B466F">
        <w:rPr>
          <w:rFonts w:ascii="Times New Roman" w:hAnsi="Times New Roman" w:cs="Times New Roman"/>
          <w:sz w:val="24"/>
          <w:szCs w:val="24"/>
        </w:rPr>
        <w:t xml:space="preserve">Adquirir y aplicar criterios de selección y elaboración de situaciones, tareas, materiales y recursos educativos en matemáticas, integrándolos en unidades </w:t>
      </w:r>
      <w:r w:rsidR="005E4B2C" w:rsidRPr="003B466F">
        <w:rPr>
          <w:rFonts w:ascii="Times New Roman" w:hAnsi="Times New Roman" w:cs="Times New Roman"/>
          <w:sz w:val="24"/>
          <w:szCs w:val="24"/>
        </w:rPr>
        <w:t>didácticas</w:t>
      </w:r>
      <w:r w:rsidRPr="003B466F">
        <w:rPr>
          <w:rFonts w:ascii="Times New Roman" w:hAnsi="Times New Roman" w:cs="Times New Roman"/>
          <w:sz w:val="24"/>
          <w:szCs w:val="24"/>
        </w:rPr>
        <w:t xml:space="preserve"> o situaciones de aprendizaje e identificando los objetivos perseguidos, contenidos abordados, y </w:t>
      </w:r>
      <w:r w:rsidR="005E4B2C" w:rsidRPr="003B466F">
        <w:rPr>
          <w:rFonts w:ascii="Times New Roman" w:hAnsi="Times New Roman" w:cs="Times New Roman"/>
          <w:sz w:val="24"/>
          <w:szCs w:val="24"/>
        </w:rPr>
        <w:t>métodos</w:t>
      </w:r>
      <w:r w:rsidRPr="003B466F">
        <w:rPr>
          <w:rFonts w:ascii="Times New Roman" w:hAnsi="Times New Roman" w:cs="Times New Roman"/>
          <w:sz w:val="24"/>
          <w:szCs w:val="24"/>
        </w:rPr>
        <w:t xml:space="preserve"> de </w:t>
      </w:r>
      <w:r w:rsidR="00833E8D" w:rsidRPr="003B466F">
        <w:rPr>
          <w:rFonts w:ascii="Times New Roman" w:hAnsi="Times New Roman" w:cs="Times New Roman"/>
          <w:sz w:val="24"/>
          <w:szCs w:val="24"/>
        </w:rPr>
        <w:t>enseñanza</w:t>
      </w:r>
      <w:r w:rsidRPr="003B466F">
        <w:rPr>
          <w:rFonts w:ascii="Times New Roman" w:hAnsi="Times New Roman" w:cs="Times New Roman"/>
          <w:sz w:val="24"/>
          <w:szCs w:val="24"/>
        </w:rPr>
        <w:t xml:space="preserve"> y evaluación utilizados.</w:t>
      </w:r>
    </w:p>
    <w:p w14:paraId="7DA35A2B" w14:textId="77777777" w:rsidR="005C5069" w:rsidRPr="003B466F" w:rsidRDefault="005E6590" w:rsidP="003B466F">
      <w:pPr>
        <w:numPr>
          <w:ilvl w:val="0"/>
          <w:numId w:val="5"/>
        </w:numPr>
        <w:jc w:val="both"/>
        <w:rPr>
          <w:rFonts w:ascii="Times New Roman" w:hAnsi="Times New Roman" w:cs="Times New Roman"/>
          <w:sz w:val="24"/>
          <w:szCs w:val="24"/>
          <w:highlight w:val="white"/>
        </w:rPr>
      </w:pPr>
      <w:r w:rsidRPr="003B466F">
        <w:rPr>
          <w:rFonts w:ascii="Times New Roman" w:hAnsi="Times New Roman" w:cs="Times New Roman"/>
          <w:sz w:val="24"/>
          <w:szCs w:val="24"/>
          <w:highlight w:val="white"/>
        </w:rPr>
        <w:t xml:space="preserve">Organizar los contenidos matemáticos de una unidad didáctica o situación de aprendizaje desde una perspectiva cognitiva, teniendo presente tanto su fenomenología y situaciones significativas de uso como las trayectorias de aprendizaje habituales de los mismos. </w:t>
      </w:r>
    </w:p>
    <w:p w14:paraId="7EC70CF7" w14:textId="77777777" w:rsidR="005C5069" w:rsidRPr="003B466F" w:rsidRDefault="005E6590" w:rsidP="003B466F">
      <w:pPr>
        <w:numPr>
          <w:ilvl w:val="0"/>
          <w:numId w:val="5"/>
        </w:numPr>
        <w:jc w:val="both"/>
        <w:rPr>
          <w:rFonts w:ascii="Times New Roman" w:hAnsi="Times New Roman" w:cs="Times New Roman"/>
          <w:sz w:val="24"/>
          <w:szCs w:val="24"/>
          <w:highlight w:val="white"/>
        </w:rPr>
      </w:pPr>
      <w:r w:rsidRPr="003B466F">
        <w:rPr>
          <w:rFonts w:ascii="Times New Roman" w:hAnsi="Times New Roman" w:cs="Times New Roman"/>
          <w:sz w:val="24"/>
          <w:szCs w:val="24"/>
          <w:highlight w:val="white"/>
        </w:rPr>
        <w:t xml:space="preserve">Conocer y ser consciente de las dificultades y los errores habituales asociados a los contenidos matemáticos (conceptos, propiedades, procedimientos, representaciones, aplicaciones), con la finalidad de prever y anticipar las posibles dificultades que pueden surgir en sus procesos de enseñanza-aprendizaje y diseñar situaciones teniendo esto presente. </w:t>
      </w:r>
    </w:p>
    <w:p w14:paraId="35496EEB" w14:textId="77777777" w:rsidR="005C5069" w:rsidRPr="003B466F" w:rsidRDefault="005E6590" w:rsidP="003B466F">
      <w:pPr>
        <w:numPr>
          <w:ilvl w:val="0"/>
          <w:numId w:val="5"/>
        </w:numPr>
        <w:jc w:val="both"/>
        <w:rPr>
          <w:rFonts w:ascii="Times New Roman" w:hAnsi="Times New Roman" w:cs="Times New Roman"/>
          <w:sz w:val="24"/>
          <w:szCs w:val="24"/>
          <w:highlight w:val="white"/>
        </w:rPr>
      </w:pPr>
      <w:r w:rsidRPr="003B466F">
        <w:rPr>
          <w:rFonts w:ascii="Times New Roman" w:hAnsi="Times New Roman" w:cs="Times New Roman"/>
          <w:sz w:val="24"/>
          <w:szCs w:val="24"/>
          <w:highlight w:val="white"/>
        </w:rPr>
        <w:t xml:space="preserve">Generar propuestas didácticas inclusivas en matemáticas, que tengan presentes las habilidades y diversidad del estudiantado para determinar expectativas de aprendizaje ajustadas a las mismas y que tengan la suficiente flexibilidad para evitar situaciones innecesarias de aburrimiento, repetición o frustración insalvable en su desarrollo. </w:t>
      </w:r>
    </w:p>
    <w:p w14:paraId="5D310BB4" w14:textId="77777777" w:rsidR="005C5069" w:rsidRPr="003B466F" w:rsidRDefault="005E6590" w:rsidP="003B466F">
      <w:pPr>
        <w:numPr>
          <w:ilvl w:val="0"/>
          <w:numId w:val="5"/>
        </w:numPr>
        <w:jc w:val="both"/>
        <w:rPr>
          <w:rFonts w:ascii="Times New Roman" w:hAnsi="Times New Roman" w:cs="Times New Roman"/>
          <w:sz w:val="24"/>
          <w:szCs w:val="24"/>
          <w:highlight w:val="white"/>
        </w:rPr>
      </w:pPr>
      <w:r w:rsidRPr="003B466F">
        <w:rPr>
          <w:rFonts w:ascii="Times New Roman" w:hAnsi="Times New Roman" w:cs="Times New Roman"/>
          <w:sz w:val="24"/>
          <w:szCs w:val="24"/>
          <w:highlight w:val="white"/>
        </w:rPr>
        <w:t xml:space="preserve">Seleccionar y crear recursos y materiales didácticos adecuados para apoyar las situaciones de aprendizaje planteadas de forma que promuevan la construcción de sentido matemático y el desarrollo de competencias específicas en matemáticas por parte del estudiantado. </w:t>
      </w:r>
    </w:p>
    <w:p w14:paraId="3D9AEC88" w14:textId="77777777" w:rsidR="005C5069" w:rsidRPr="003B466F" w:rsidRDefault="005C5069" w:rsidP="003B466F">
      <w:pPr>
        <w:jc w:val="both"/>
        <w:rPr>
          <w:rFonts w:ascii="Times New Roman" w:hAnsi="Times New Roman" w:cs="Times New Roman"/>
          <w:sz w:val="24"/>
          <w:szCs w:val="24"/>
          <w:highlight w:val="white"/>
        </w:rPr>
      </w:pPr>
    </w:p>
    <w:p w14:paraId="7B70E5B5"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La competencia profesional CP3, </w:t>
      </w:r>
      <w:r w:rsidRPr="003B466F">
        <w:rPr>
          <w:rFonts w:ascii="Times New Roman" w:hAnsi="Times New Roman" w:cs="Times New Roman"/>
          <w:b/>
          <w:sz w:val="24"/>
          <w:szCs w:val="24"/>
        </w:rPr>
        <w:t>competencia de gestión e interpretación del trabajo matemático del estudiantado,</w:t>
      </w:r>
      <w:r w:rsidRPr="003B466F">
        <w:rPr>
          <w:rFonts w:ascii="Times New Roman" w:hAnsi="Times New Roman" w:cs="Times New Roman"/>
          <w:sz w:val="24"/>
          <w:szCs w:val="24"/>
        </w:rPr>
        <w:t xml:space="preserve"> se centra en los siguientes resultados de aprendizaje:</w:t>
      </w:r>
    </w:p>
    <w:p w14:paraId="35295BD2"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 xml:space="preserve">Diseñar e implementar situaciones de aula, partiendo del conocimiento de la didáctica de la matemática, que permitan hacer emerger las potencialidades y dificultades del alumnado en los diferentes sentidos del currículo matemático. </w:t>
      </w:r>
    </w:p>
    <w:p w14:paraId="0EB465ED"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lastRenderedPageBreak/>
        <w:t xml:space="preserve">Identificar e interpretar estrategias y el nivel de comprensión de contenidos matemáticos del alumnado, a partir de la aplicación de conocimiento propio de la didáctica de la matemática a sus producciones orales y escritas. </w:t>
      </w:r>
    </w:p>
    <w:p w14:paraId="39B6F862"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 xml:space="preserve">Ser capaz de determinar e implementar acciones y actividades congruentes con las estrategias o el nivel de comprensión de contenidos matemáticos plasmados por el alumnado y conducentes a mejorar o evolucionar su aprendizaje. </w:t>
      </w:r>
    </w:p>
    <w:p w14:paraId="3B63A5C9"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 xml:space="preserve">Identificar e interpretar la existencia de errores y dificultades del alumnado, a partir de la aplicación de conocimiento propio de la didáctica de la matemática a sus producciones orales y escritas. </w:t>
      </w:r>
    </w:p>
    <w:p w14:paraId="78DBF638"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 xml:space="preserve">Ser capaz de determinar e implementar acciones y actividades que permitan al estudiantado superar posibles errores y dificultades para mejorar o evolucionar su aprendizaje. </w:t>
      </w:r>
    </w:p>
    <w:p w14:paraId="2981B942"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Identificar características propias de la alta capacidad matemática o de dificultades específicas de aprendizaje en matemáticas, a partir de la aplicación de conocimiento propio de la didáctica de la matemática a sus producciones orales y escritas, con el objeto de plantear acciones o adaptaciones a la actividad matemática planteada que tengan presente estas características.</w:t>
      </w:r>
    </w:p>
    <w:p w14:paraId="70ACD6A4"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 xml:space="preserve">Conocer, determinar y gestionar la implementación de diferentes metodologías de enseñanza y aprendizaje de las matemáticas, a partir de las especificidades y diversidad matemática del alumnado presente en un aula de matemáticas, buscando optimizar los procesos de enseñanza y aprendizaje de las matemáticas que tengan lugar. </w:t>
      </w:r>
    </w:p>
    <w:p w14:paraId="31B33E3A"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 xml:space="preserve">Plantear técnicas y estrategias útiles para promover la reflexión del estudiantado de matemáticas sobre sus propios procesos de aprendizaje de contenidos y desarrollo de competencias específicas en matemáticas. </w:t>
      </w:r>
    </w:p>
    <w:p w14:paraId="4466F93B"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La competencia profesional CP4, </w:t>
      </w:r>
      <w:r w:rsidRPr="003B466F">
        <w:rPr>
          <w:rFonts w:ascii="Times New Roman" w:hAnsi="Times New Roman" w:cs="Times New Roman"/>
          <w:b/>
          <w:sz w:val="24"/>
          <w:szCs w:val="24"/>
        </w:rPr>
        <w:t xml:space="preserve">competencia de guía y gestión de la comunicación e interacciones en el aula de matemáticas, </w:t>
      </w:r>
      <w:r w:rsidRPr="003B466F">
        <w:rPr>
          <w:rFonts w:ascii="Times New Roman" w:hAnsi="Times New Roman" w:cs="Times New Roman"/>
          <w:sz w:val="24"/>
          <w:szCs w:val="24"/>
        </w:rPr>
        <w:t>se concreta en los siguientes resultados de aprendizaje:</w:t>
      </w:r>
    </w:p>
    <w:p w14:paraId="3D74352F" w14:textId="77777777" w:rsidR="005C5069" w:rsidRPr="003B466F" w:rsidRDefault="005E6590" w:rsidP="003B466F">
      <w:pPr>
        <w:numPr>
          <w:ilvl w:val="0"/>
          <w:numId w:val="5"/>
        </w:numPr>
        <w:jc w:val="both"/>
        <w:rPr>
          <w:rFonts w:ascii="Times New Roman" w:eastAsia="Merriweather" w:hAnsi="Times New Roman" w:cs="Times New Roman"/>
          <w:sz w:val="24"/>
          <w:szCs w:val="24"/>
        </w:rPr>
      </w:pPr>
      <w:r w:rsidRPr="003B466F">
        <w:rPr>
          <w:rFonts w:ascii="Times New Roman" w:hAnsi="Times New Roman" w:cs="Times New Roman"/>
          <w:sz w:val="24"/>
          <w:szCs w:val="24"/>
        </w:rPr>
        <w:t xml:space="preserve">Crear tareas matemáticas con potencial para generar situaciones ricas de comunicación matemática a través de valorar la formulación, explicación y argumentación de procesos y estrategias y la posibilidad de uso de diferentes lenguajes y representaciones de conceptos, propiedades y procedimientos matemáticos. </w:t>
      </w:r>
    </w:p>
    <w:p w14:paraId="2E29235E" w14:textId="77777777" w:rsidR="005C5069" w:rsidRPr="003B466F" w:rsidRDefault="005E6590" w:rsidP="003B466F">
      <w:pPr>
        <w:numPr>
          <w:ilvl w:val="0"/>
          <w:numId w:val="5"/>
        </w:numPr>
        <w:jc w:val="both"/>
        <w:rPr>
          <w:rFonts w:ascii="Times New Roman" w:hAnsi="Times New Roman" w:cs="Times New Roman"/>
          <w:sz w:val="24"/>
          <w:szCs w:val="24"/>
        </w:rPr>
      </w:pPr>
      <w:r w:rsidRPr="003B466F">
        <w:rPr>
          <w:rFonts w:ascii="Times New Roman" w:hAnsi="Times New Roman" w:cs="Times New Roman"/>
          <w:sz w:val="24"/>
          <w:szCs w:val="24"/>
        </w:rPr>
        <w:t>Conocer las características, potencialidades y limitaciones de la comunicación de tipo oral, escrita y gestual en la actividad matemática y aplicar este conocimiento en la toma de decisiones sobre cómo plantear e implementar tareas matemáticas en el aula.</w:t>
      </w:r>
    </w:p>
    <w:p w14:paraId="7B3E9813" w14:textId="77777777" w:rsidR="005C5069" w:rsidRPr="003B466F" w:rsidRDefault="005E6590" w:rsidP="003B466F">
      <w:pPr>
        <w:numPr>
          <w:ilvl w:val="0"/>
          <w:numId w:val="5"/>
        </w:numPr>
        <w:jc w:val="both"/>
        <w:rPr>
          <w:rFonts w:ascii="Times New Roman" w:hAnsi="Times New Roman" w:cs="Times New Roman"/>
          <w:sz w:val="24"/>
          <w:szCs w:val="24"/>
        </w:rPr>
      </w:pPr>
      <w:r w:rsidRPr="003B466F">
        <w:rPr>
          <w:rFonts w:ascii="Times New Roman" w:hAnsi="Times New Roman" w:cs="Times New Roman"/>
          <w:sz w:val="24"/>
          <w:szCs w:val="24"/>
        </w:rPr>
        <w:t xml:space="preserve">Comprender y ser capaz de implementar metodologías y estrategias docentes en matemáticas que favorezcan, estimulen y valoren la comunicación e interacciones significativas de todo el estudiantado al desarrollar actividad matemática en el aula, adoptando un rol docente de mediador e incitador de la comunicación. </w:t>
      </w:r>
    </w:p>
    <w:p w14:paraId="2B5D0352" w14:textId="77777777" w:rsidR="005C5069" w:rsidRPr="003B466F" w:rsidRDefault="005E6590" w:rsidP="003B466F">
      <w:pPr>
        <w:numPr>
          <w:ilvl w:val="0"/>
          <w:numId w:val="5"/>
        </w:numPr>
        <w:jc w:val="both"/>
        <w:rPr>
          <w:rFonts w:ascii="Times New Roman" w:hAnsi="Times New Roman" w:cs="Times New Roman"/>
          <w:sz w:val="24"/>
          <w:szCs w:val="24"/>
        </w:rPr>
      </w:pPr>
      <w:r w:rsidRPr="003B466F">
        <w:rPr>
          <w:rFonts w:ascii="Times New Roman" w:hAnsi="Times New Roman" w:cs="Times New Roman"/>
          <w:sz w:val="24"/>
          <w:szCs w:val="24"/>
        </w:rPr>
        <w:lastRenderedPageBreak/>
        <w:t>Desarrollar estrategias docentes que enfaticen el papel de la comunicación e interacción para reforzar la comprensión de contenidos matemáticos y para detectar y superar errores y dificultades a través de verbalizar y evaluar entre pares la actividad matemática desarrollada.</w:t>
      </w:r>
    </w:p>
    <w:p w14:paraId="2A55225A" w14:textId="77777777" w:rsidR="005C5069" w:rsidRPr="003B466F" w:rsidRDefault="005E6590" w:rsidP="003B466F">
      <w:pPr>
        <w:numPr>
          <w:ilvl w:val="0"/>
          <w:numId w:val="5"/>
        </w:numPr>
        <w:jc w:val="both"/>
        <w:rPr>
          <w:rFonts w:ascii="Times New Roman" w:hAnsi="Times New Roman" w:cs="Times New Roman"/>
          <w:sz w:val="24"/>
          <w:szCs w:val="24"/>
        </w:rPr>
      </w:pPr>
      <w:r w:rsidRPr="003B466F">
        <w:rPr>
          <w:rFonts w:ascii="Times New Roman" w:hAnsi="Times New Roman" w:cs="Times New Roman"/>
          <w:sz w:val="24"/>
          <w:szCs w:val="24"/>
        </w:rPr>
        <w:t xml:space="preserve">Conocer, detectar y ser consciente de los patrones de interacción más habituales en el aula de matemáticas así como del modo en que el estudiantado los interpreta y sus comportamientos esperados ante ellos, reflexionando sobre los modos en que estos patrones e interpretaciones potencian o limitan la cantidad y calidad de la comunicación e interacción matemática en el aula. </w:t>
      </w:r>
    </w:p>
    <w:p w14:paraId="1F13AE10" w14:textId="77777777" w:rsidR="005C5069" w:rsidRPr="003B466F" w:rsidRDefault="005E6590" w:rsidP="003B466F">
      <w:pPr>
        <w:numPr>
          <w:ilvl w:val="0"/>
          <w:numId w:val="5"/>
        </w:numPr>
        <w:jc w:val="both"/>
        <w:rPr>
          <w:rFonts w:ascii="Times New Roman" w:hAnsi="Times New Roman" w:cs="Times New Roman"/>
          <w:sz w:val="24"/>
          <w:szCs w:val="24"/>
        </w:rPr>
      </w:pPr>
      <w:r w:rsidRPr="003B466F">
        <w:rPr>
          <w:rFonts w:ascii="Times New Roman" w:hAnsi="Times New Roman" w:cs="Times New Roman"/>
          <w:sz w:val="24"/>
          <w:szCs w:val="24"/>
        </w:rPr>
        <w:t>Diseñar e implementar situaciones que permitan al alumnado descubrir, comprender y utilizar características del lenguaje verbal, simbólico y gráfico en el aula de matemáticas, valorando el uso de todos ellos y su combinación como un medio de expresión de la actividad matemática desarrollada que atiende a la diversidad.</w:t>
      </w:r>
    </w:p>
    <w:p w14:paraId="51096DB5" w14:textId="77777777" w:rsidR="005C5069" w:rsidRPr="003B466F" w:rsidRDefault="005E6590" w:rsidP="003B466F">
      <w:pPr>
        <w:numPr>
          <w:ilvl w:val="0"/>
          <w:numId w:val="5"/>
        </w:numPr>
        <w:jc w:val="both"/>
        <w:rPr>
          <w:rFonts w:ascii="Times New Roman" w:hAnsi="Times New Roman" w:cs="Times New Roman"/>
          <w:sz w:val="24"/>
          <w:szCs w:val="24"/>
        </w:rPr>
      </w:pPr>
      <w:r w:rsidRPr="003B466F">
        <w:rPr>
          <w:rFonts w:ascii="Times New Roman" w:hAnsi="Times New Roman" w:cs="Times New Roman"/>
          <w:sz w:val="24"/>
          <w:szCs w:val="24"/>
        </w:rPr>
        <w:t>Aplicar estrategias para promover procesos de comunicación en el aula vinculados a las propias características de las matemáticas y a la expresión de todo tipo de ideas y pensamientos ligados a ellas y a la actividad matemática desarrollada, que permitan al alumnado verbalizar y reflexionar sobre sus concepciones, creencias, actitudes y emociones hacia la actividad matemática.</w:t>
      </w:r>
    </w:p>
    <w:p w14:paraId="71C2A70C"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En el caso de la competencia profesional CP5, </w:t>
      </w:r>
      <w:r w:rsidRPr="003B466F">
        <w:rPr>
          <w:rFonts w:ascii="Times New Roman" w:hAnsi="Times New Roman" w:cs="Times New Roman"/>
          <w:b/>
          <w:sz w:val="24"/>
          <w:szCs w:val="24"/>
        </w:rPr>
        <w:t>competencia de evaluación de los aprendizajes matemáticos del estudiantado,</w:t>
      </w:r>
      <w:r w:rsidRPr="003B466F">
        <w:rPr>
          <w:rFonts w:ascii="Times New Roman" w:hAnsi="Times New Roman" w:cs="Times New Roman"/>
          <w:sz w:val="24"/>
          <w:szCs w:val="24"/>
        </w:rPr>
        <w:t xml:space="preserve"> se enuncian los siguientes resultados de aprendizaje:</w:t>
      </w:r>
    </w:p>
    <w:p w14:paraId="538F5F95" w14:textId="77777777" w:rsidR="005C5069" w:rsidRPr="003B466F" w:rsidRDefault="005E6590" w:rsidP="003B466F">
      <w:pPr>
        <w:numPr>
          <w:ilvl w:val="0"/>
          <w:numId w:val="2"/>
        </w:numPr>
        <w:pBdr>
          <w:top w:val="nil"/>
          <w:left w:val="nil"/>
          <w:bottom w:val="nil"/>
          <w:right w:val="nil"/>
          <w:between w:val="nil"/>
        </w:pBdr>
        <w:jc w:val="both"/>
        <w:rPr>
          <w:rFonts w:ascii="Times New Roman" w:hAnsi="Times New Roman" w:cs="Times New Roman"/>
          <w:sz w:val="24"/>
          <w:szCs w:val="24"/>
        </w:rPr>
      </w:pPr>
      <w:r w:rsidRPr="003B466F">
        <w:rPr>
          <w:rFonts w:ascii="Times New Roman" w:hAnsi="Times New Roman" w:cs="Times New Roman"/>
          <w:sz w:val="24"/>
          <w:szCs w:val="24"/>
        </w:rPr>
        <w:t xml:space="preserve">Comprender la evolución histórica de la evaluación en educación matemática, relacionándola con las concepciones predominantes sobre las funciones de las matemáticas escolares, y distinguiendo entre enfoques de evaluación centrados en habilidades cognitivas y otros centrados en evaluar la competencia matemática a través de procesos matemáticos clave. </w:t>
      </w:r>
    </w:p>
    <w:p w14:paraId="3E52CA72" w14:textId="77777777" w:rsidR="005C5069" w:rsidRPr="003B466F" w:rsidRDefault="005E6590" w:rsidP="003B466F">
      <w:pPr>
        <w:numPr>
          <w:ilvl w:val="0"/>
          <w:numId w:val="2"/>
        </w:numPr>
        <w:pBdr>
          <w:top w:val="nil"/>
          <w:left w:val="nil"/>
          <w:bottom w:val="nil"/>
          <w:right w:val="nil"/>
          <w:between w:val="nil"/>
        </w:pBdr>
        <w:jc w:val="both"/>
        <w:rPr>
          <w:rFonts w:ascii="Times New Roman" w:hAnsi="Times New Roman" w:cs="Times New Roman"/>
          <w:sz w:val="24"/>
          <w:szCs w:val="24"/>
        </w:rPr>
      </w:pPr>
      <w:r w:rsidRPr="003B466F">
        <w:rPr>
          <w:rFonts w:ascii="Times New Roman" w:hAnsi="Times New Roman" w:cs="Times New Roman"/>
          <w:sz w:val="24"/>
          <w:szCs w:val="24"/>
        </w:rPr>
        <w:t>Valorar el papel del error en la resolución de tareas matemáticas entendiendo su conexión con el aprendizaje del alumnado y su potencial para la evolución de este.</w:t>
      </w:r>
    </w:p>
    <w:p w14:paraId="092D3FCC" w14:textId="6F42E464"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 xml:space="preserve">Entender la </w:t>
      </w:r>
      <w:r w:rsidR="005E4B2C" w:rsidRPr="003B466F">
        <w:rPr>
          <w:rFonts w:ascii="Times New Roman" w:hAnsi="Times New Roman" w:cs="Times New Roman"/>
          <w:sz w:val="24"/>
          <w:szCs w:val="24"/>
        </w:rPr>
        <w:t>evaluación</w:t>
      </w:r>
      <w:r w:rsidRPr="003B466F">
        <w:rPr>
          <w:rFonts w:ascii="Times New Roman" w:hAnsi="Times New Roman" w:cs="Times New Roman"/>
          <w:sz w:val="24"/>
          <w:szCs w:val="24"/>
        </w:rPr>
        <w:t xml:space="preserve"> como un instrumento de </w:t>
      </w:r>
      <w:r w:rsidR="005E4B2C" w:rsidRPr="003B466F">
        <w:rPr>
          <w:rFonts w:ascii="Times New Roman" w:hAnsi="Times New Roman" w:cs="Times New Roman"/>
          <w:sz w:val="24"/>
          <w:szCs w:val="24"/>
        </w:rPr>
        <w:t>regulación</w:t>
      </w:r>
      <w:r w:rsidRPr="003B466F">
        <w:rPr>
          <w:rFonts w:ascii="Times New Roman" w:hAnsi="Times New Roman" w:cs="Times New Roman"/>
          <w:sz w:val="24"/>
          <w:szCs w:val="24"/>
        </w:rPr>
        <w:t xml:space="preserve"> y de </w:t>
      </w:r>
      <w:r w:rsidR="00601F4A" w:rsidRPr="003B466F">
        <w:rPr>
          <w:rFonts w:ascii="Times New Roman" w:hAnsi="Times New Roman" w:cs="Times New Roman"/>
          <w:sz w:val="24"/>
          <w:szCs w:val="24"/>
        </w:rPr>
        <w:t>estímulo</w:t>
      </w:r>
      <w:r w:rsidRPr="003B466F">
        <w:rPr>
          <w:rFonts w:ascii="Times New Roman" w:hAnsi="Times New Roman" w:cs="Times New Roman"/>
          <w:sz w:val="24"/>
          <w:szCs w:val="24"/>
        </w:rPr>
        <w:t xml:space="preserve"> al esfuerzo en el aprendizaje de las matemáticas, que permita conectar el proceso de evaluación con el desarrollo de destrezas socioafectivas positivas hacia las matemáticas. </w:t>
      </w:r>
    </w:p>
    <w:p w14:paraId="27F53A6B" w14:textId="0D1A1535"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 xml:space="preserve">Distinguir los distintos tipos de evaluación en educación matemática (inicial, diagnóstica, procesual, final, formativa, sumativa, </w:t>
      </w:r>
      <w:r w:rsidR="005E4B2C" w:rsidRPr="003B466F">
        <w:rPr>
          <w:rFonts w:ascii="Times New Roman" w:hAnsi="Times New Roman" w:cs="Times New Roman"/>
          <w:sz w:val="24"/>
          <w:szCs w:val="24"/>
        </w:rPr>
        <w:t>criteri</w:t>
      </w:r>
      <w:r w:rsidR="005E4B2C">
        <w:rPr>
          <w:rFonts w:ascii="Times New Roman" w:hAnsi="Times New Roman" w:cs="Times New Roman"/>
          <w:sz w:val="24"/>
          <w:szCs w:val="24"/>
        </w:rPr>
        <w:t>al</w:t>
      </w:r>
      <w:r w:rsidRPr="003B466F">
        <w:rPr>
          <w:rFonts w:ascii="Times New Roman" w:hAnsi="Times New Roman" w:cs="Times New Roman"/>
          <w:sz w:val="24"/>
          <w:szCs w:val="24"/>
        </w:rPr>
        <w:t>, integradora, interna, externa...) y sus funciones (social, profesional, pedagógica...), reconociendo el carácter de distintos instrumentos y pruebas de evaluación.</w:t>
      </w:r>
    </w:p>
    <w:p w14:paraId="05CEF563"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 xml:space="preserve">Conocer y desarrollar diferentes estrategias, técnicas e instrumentos de evaluación en educación matemática para la etapa de educación secundaria. </w:t>
      </w:r>
    </w:p>
    <w:p w14:paraId="6FA89A9F" w14:textId="3EA99429" w:rsidR="005C5069" w:rsidRPr="003B466F" w:rsidRDefault="005E6590" w:rsidP="003B466F">
      <w:pPr>
        <w:numPr>
          <w:ilvl w:val="0"/>
          <w:numId w:val="2"/>
        </w:numPr>
        <w:pBdr>
          <w:top w:val="nil"/>
          <w:left w:val="nil"/>
          <w:bottom w:val="nil"/>
          <w:right w:val="nil"/>
          <w:between w:val="nil"/>
        </w:pBdr>
        <w:jc w:val="both"/>
        <w:rPr>
          <w:rFonts w:ascii="Times New Roman" w:hAnsi="Times New Roman" w:cs="Times New Roman"/>
          <w:sz w:val="24"/>
          <w:szCs w:val="24"/>
        </w:rPr>
      </w:pPr>
      <w:r w:rsidRPr="003B466F">
        <w:rPr>
          <w:rFonts w:ascii="Times New Roman" w:hAnsi="Times New Roman" w:cs="Times New Roman"/>
          <w:sz w:val="24"/>
          <w:szCs w:val="24"/>
        </w:rPr>
        <w:t xml:space="preserve">Diseñar e implementar tareas matemáticas ricas que movilicen diferentes contenidos y los procesos matemáticos de resolución de problemas, </w:t>
      </w:r>
      <w:r w:rsidRPr="003B466F">
        <w:rPr>
          <w:rFonts w:ascii="Times New Roman" w:hAnsi="Times New Roman" w:cs="Times New Roman"/>
          <w:sz w:val="24"/>
          <w:szCs w:val="24"/>
        </w:rPr>
        <w:lastRenderedPageBreak/>
        <w:t xml:space="preserve">establecimiento de conexiones intra y </w:t>
      </w:r>
      <w:r w:rsidR="00833E8D" w:rsidRPr="003B466F">
        <w:rPr>
          <w:rFonts w:ascii="Times New Roman" w:hAnsi="Times New Roman" w:cs="Times New Roman"/>
          <w:sz w:val="24"/>
          <w:szCs w:val="24"/>
        </w:rPr>
        <w:t>extra-matemáticas</w:t>
      </w:r>
      <w:r w:rsidRPr="003B466F">
        <w:rPr>
          <w:rFonts w:ascii="Times New Roman" w:hAnsi="Times New Roman" w:cs="Times New Roman"/>
          <w:sz w:val="24"/>
          <w:szCs w:val="24"/>
        </w:rPr>
        <w:t xml:space="preserve">, comunicación matemática, argumentación y representación con el objeto de evaluar la competencia matemática del alumnado a partir de los criterios de evaluación que marca el currículo. </w:t>
      </w:r>
    </w:p>
    <w:p w14:paraId="3240C6CA" w14:textId="77777777" w:rsidR="005C5069" w:rsidRPr="003B466F" w:rsidRDefault="005E6590" w:rsidP="003B466F">
      <w:pPr>
        <w:numPr>
          <w:ilvl w:val="0"/>
          <w:numId w:val="2"/>
        </w:numPr>
        <w:pBdr>
          <w:top w:val="nil"/>
          <w:left w:val="nil"/>
          <w:bottom w:val="nil"/>
          <w:right w:val="nil"/>
          <w:between w:val="nil"/>
        </w:pBdr>
        <w:jc w:val="both"/>
        <w:rPr>
          <w:rFonts w:ascii="Times New Roman" w:hAnsi="Times New Roman" w:cs="Times New Roman"/>
          <w:sz w:val="24"/>
          <w:szCs w:val="24"/>
        </w:rPr>
      </w:pPr>
      <w:r w:rsidRPr="003B466F">
        <w:rPr>
          <w:rFonts w:ascii="Times New Roman" w:hAnsi="Times New Roman" w:cs="Times New Roman"/>
          <w:sz w:val="24"/>
          <w:szCs w:val="24"/>
        </w:rPr>
        <w:t xml:space="preserve">Anticipar y analizar las diferentes estrategias de resolución de las tareas matemáticas planteadas con el objeto de plantear estrategias argumentadas de evaluación tanto de carácter formativo como sumativo. </w:t>
      </w:r>
    </w:p>
    <w:p w14:paraId="7A170520"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Dominar y ser capaz de implementar estrategias para proporcionar retroalimentación al estudiantado que le hagan reflexionar sobre sus aprendizajes matemáticos y poder evolucionarlos.</w:t>
      </w:r>
    </w:p>
    <w:p w14:paraId="602CA358"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La competencia profesional CP6, </w:t>
      </w:r>
      <w:r w:rsidRPr="003B466F">
        <w:rPr>
          <w:rFonts w:ascii="Times New Roman" w:hAnsi="Times New Roman" w:cs="Times New Roman"/>
          <w:b/>
          <w:sz w:val="24"/>
          <w:szCs w:val="24"/>
        </w:rPr>
        <w:t xml:space="preserve">competencia digital en matemáticas, </w:t>
      </w:r>
      <w:r w:rsidRPr="003B466F">
        <w:rPr>
          <w:rFonts w:ascii="Times New Roman" w:hAnsi="Times New Roman" w:cs="Times New Roman"/>
          <w:sz w:val="24"/>
          <w:szCs w:val="24"/>
        </w:rPr>
        <w:t>se concreta en los siguientes resultados de aprendizaje:</w:t>
      </w:r>
    </w:p>
    <w:p w14:paraId="2B835796" w14:textId="3099A1A4" w:rsidR="005C5069" w:rsidRPr="003B466F" w:rsidRDefault="005E6590" w:rsidP="003B466F">
      <w:pPr>
        <w:numPr>
          <w:ilvl w:val="0"/>
          <w:numId w:val="8"/>
        </w:numPr>
        <w:jc w:val="both"/>
        <w:rPr>
          <w:rFonts w:ascii="Times New Roman" w:hAnsi="Times New Roman" w:cs="Times New Roman"/>
          <w:sz w:val="24"/>
          <w:szCs w:val="24"/>
        </w:rPr>
      </w:pPr>
      <w:r w:rsidRPr="003B466F">
        <w:rPr>
          <w:rFonts w:ascii="Times New Roman" w:hAnsi="Times New Roman" w:cs="Times New Roman"/>
          <w:sz w:val="24"/>
          <w:szCs w:val="24"/>
        </w:rPr>
        <w:t xml:space="preserve">Ser capaz de resolver situaciones y problemas matemáticos haciendo uso de herramientas informáticas y recursos digitales en matemáticas, siendo consciente del rol e influencia que tienen estas herramientas y recursos para la resolución de </w:t>
      </w:r>
      <w:r w:rsidR="00662F76" w:rsidRPr="003B466F">
        <w:rPr>
          <w:rFonts w:ascii="Times New Roman" w:hAnsi="Times New Roman" w:cs="Times New Roman"/>
          <w:sz w:val="24"/>
          <w:szCs w:val="24"/>
        </w:rPr>
        <w:t>estos</w:t>
      </w:r>
      <w:r w:rsidRPr="003B466F">
        <w:rPr>
          <w:rFonts w:ascii="Times New Roman" w:hAnsi="Times New Roman" w:cs="Times New Roman"/>
          <w:sz w:val="24"/>
          <w:szCs w:val="24"/>
        </w:rPr>
        <w:t xml:space="preserve">. </w:t>
      </w:r>
    </w:p>
    <w:p w14:paraId="68C3EF8E" w14:textId="77777777" w:rsidR="005C5069" w:rsidRPr="003B466F" w:rsidRDefault="005E6590" w:rsidP="003B466F">
      <w:pPr>
        <w:numPr>
          <w:ilvl w:val="0"/>
          <w:numId w:val="2"/>
        </w:numPr>
        <w:pBdr>
          <w:top w:val="nil"/>
          <w:left w:val="nil"/>
          <w:bottom w:val="nil"/>
          <w:right w:val="nil"/>
          <w:between w:val="nil"/>
        </w:pBdr>
        <w:jc w:val="both"/>
        <w:rPr>
          <w:rFonts w:ascii="Times New Roman" w:hAnsi="Times New Roman" w:cs="Times New Roman"/>
          <w:sz w:val="24"/>
          <w:szCs w:val="24"/>
        </w:rPr>
      </w:pPr>
      <w:r w:rsidRPr="003B466F">
        <w:rPr>
          <w:rFonts w:ascii="Times New Roman" w:hAnsi="Times New Roman" w:cs="Times New Roman"/>
          <w:sz w:val="24"/>
          <w:szCs w:val="24"/>
        </w:rPr>
        <w:t>Conocer el potencial para la enseñanza de las matemáticas de la simultaneidad y/o el dinamismo de múltiples sistemas de representación propios de los entornos tecnológicos en el campo de las matemáticas.</w:t>
      </w:r>
    </w:p>
    <w:p w14:paraId="3FCA012A" w14:textId="77777777" w:rsidR="005C5069" w:rsidRPr="003B466F" w:rsidRDefault="005E6590" w:rsidP="003B466F">
      <w:pPr>
        <w:numPr>
          <w:ilvl w:val="0"/>
          <w:numId w:val="2"/>
        </w:numPr>
        <w:pBdr>
          <w:top w:val="nil"/>
          <w:left w:val="nil"/>
          <w:bottom w:val="nil"/>
          <w:right w:val="nil"/>
          <w:between w:val="nil"/>
        </w:pBdr>
        <w:jc w:val="both"/>
        <w:rPr>
          <w:rFonts w:ascii="Times New Roman" w:hAnsi="Times New Roman" w:cs="Times New Roman"/>
          <w:sz w:val="24"/>
          <w:szCs w:val="24"/>
        </w:rPr>
      </w:pPr>
      <w:r w:rsidRPr="003B466F">
        <w:rPr>
          <w:rFonts w:ascii="Times New Roman" w:hAnsi="Times New Roman" w:cs="Times New Roman"/>
          <w:sz w:val="24"/>
          <w:szCs w:val="24"/>
        </w:rPr>
        <w:t>Diseñar e integrar situaciones de aprendizaje o secuencias de enseñanza en las que se utilice el potencial de los entornos tecnológicos en matemáticas para el uso de diferentes sistemas de representación o la posibilidad de dinamizar estos, con el objeto de promover o facilitar el aprendizaje matemático del estudiantado.</w:t>
      </w:r>
    </w:p>
    <w:p w14:paraId="439B7549" w14:textId="77777777" w:rsidR="005C5069" w:rsidRPr="003B466F" w:rsidRDefault="005E6590" w:rsidP="003B466F">
      <w:pPr>
        <w:numPr>
          <w:ilvl w:val="0"/>
          <w:numId w:val="2"/>
        </w:numPr>
        <w:pBdr>
          <w:top w:val="nil"/>
          <w:left w:val="nil"/>
          <w:bottom w:val="nil"/>
          <w:right w:val="nil"/>
          <w:between w:val="nil"/>
        </w:pBdr>
        <w:jc w:val="both"/>
        <w:rPr>
          <w:rFonts w:ascii="Times New Roman" w:hAnsi="Times New Roman" w:cs="Times New Roman"/>
          <w:sz w:val="24"/>
          <w:szCs w:val="24"/>
        </w:rPr>
      </w:pPr>
      <w:r w:rsidRPr="003B466F">
        <w:rPr>
          <w:rFonts w:ascii="Times New Roman" w:hAnsi="Times New Roman" w:cs="Times New Roman"/>
          <w:sz w:val="24"/>
          <w:szCs w:val="24"/>
        </w:rPr>
        <w:t>Conocer el potencial para la enseñanza y aprendizaje de las matemáticas de los entornos tecnológicos capaces de generar retroalimentación inmediata o de generar una respuesta automática.</w:t>
      </w:r>
    </w:p>
    <w:p w14:paraId="3DEF40DE"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 xml:space="preserve">Diseñar e integrar situaciones de aprendizaje o secuencias de enseñanza en las que se utilice el potencial de la retroalimentación inmediata o de la respuesta automática en entornos tecnológicos en matemáticas. </w:t>
      </w:r>
    </w:p>
    <w:p w14:paraId="1E986C34" w14:textId="37A25097" w:rsidR="005C5069" w:rsidRPr="003B466F" w:rsidRDefault="005E6590" w:rsidP="003B466F">
      <w:pPr>
        <w:numPr>
          <w:ilvl w:val="0"/>
          <w:numId w:val="2"/>
        </w:numPr>
        <w:pBdr>
          <w:top w:val="nil"/>
          <w:left w:val="nil"/>
          <w:bottom w:val="nil"/>
          <w:right w:val="nil"/>
          <w:between w:val="nil"/>
        </w:pBdr>
        <w:jc w:val="both"/>
        <w:rPr>
          <w:rFonts w:ascii="Times New Roman" w:hAnsi="Times New Roman" w:cs="Times New Roman"/>
          <w:sz w:val="24"/>
          <w:szCs w:val="24"/>
        </w:rPr>
      </w:pPr>
      <w:r w:rsidRPr="003B466F">
        <w:rPr>
          <w:rFonts w:ascii="Times New Roman" w:hAnsi="Times New Roman" w:cs="Times New Roman"/>
          <w:sz w:val="24"/>
          <w:szCs w:val="24"/>
        </w:rPr>
        <w:t xml:space="preserve">Valorar las posibilidades de los entornos tecnológicos a la hora de interpretar el trabajo matemático del alumnado y para poder identificar posibles dificultades </w:t>
      </w:r>
      <w:r w:rsidR="00662F76" w:rsidRPr="003B466F">
        <w:rPr>
          <w:rFonts w:ascii="Times New Roman" w:hAnsi="Times New Roman" w:cs="Times New Roman"/>
          <w:sz w:val="24"/>
          <w:szCs w:val="24"/>
        </w:rPr>
        <w:t>de este</w:t>
      </w:r>
      <w:r w:rsidRPr="003B466F">
        <w:rPr>
          <w:rFonts w:ascii="Times New Roman" w:hAnsi="Times New Roman" w:cs="Times New Roman"/>
          <w:sz w:val="24"/>
          <w:szCs w:val="24"/>
        </w:rPr>
        <w:t xml:space="preserve"> en relación con los contenidos matemáticos abordados.</w:t>
      </w:r>
    </w:p>
    <w:p w14:paraId="587BBB6A"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Por último, la competencia profesional CP7, </w:t>
      </w:r>
      <w:r w:rsidRPr="003B466F">
        <w:rPr>
          <w:rFonts w:ascii="Times New Roman" w:hAnsi="Times New Roman" w:cs="Times New Roman"/>
          <w:b/>
          <w:sz w:val="24"/>
          <w:szCs w:val="24"/>
        </w:rPr>
        <w:t xml:space="preserve">competencia de actualización y desarrollo profesional como profesor de matemáticas, </w:t>
      </w:r>
      <w:r w:rsidRPr="003B466F">
        <w:rPr>
          <w:rFonts w:ascii="Times New Roman" w:hAnsi="Times New Roman" w:cs="Times New Roman"/>
          <w:sz w:val="24"/>
          <w:szCs w:val="24"/>
        </w:rPr>
        <w:t>se asocia con los siguientes resultados de aprendizaje:</w:t>
      </w:r>
    </w:p>
    <w:p w14:paraId="1DD1B803"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 xml:space="preserve">Desarrollar estrategias para evaluar los propios procesos de enseñanza de las matemáticas llevados a cabo en el ámbito de la educación secundaria y poder reflexionar de forma crítica y argumentada sobre ellos para promover el propio desarrollo profesional como docente de matemáticas. </w:t>
      </w:r>
    </w:p>
    <w:p w14:paraId="118D1127"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lastRenderedPageBreak/>
        <w:t xml:space="preserve">Analizar y valorar el potencial real de innovaciones educativas en el campo de la enseñanza de las matemáticas, usando argumentaciones apoyadas sobre el conocimiento de la didáctica de la matemática. </w:t>
      </w:r>
    </w:p>
    <w:p w14:paraId="6BD7B246"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Conocer y ser capaz de valorar, integrar y aplicar propuestas de enseñanza de las matemáticas en educación secundaria derivadas de la transferencia al aula de la investigación en didáctica de la matemática.</w:t>
      </w:r>
    </w:p>
    <w:p w14:paraId="4CDF0E9B"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 xml:space="preserve">Ser competente en la búsqueda y el uso de producciones y literatura en didáctica de la matemática para poder obtener evidencias de investigación vinculadas con los procesos de enseñanza y aprendizaje de las matemáticas en secundaria y estimar su posible alcance de esas evidencias en la práctica de aula. </w:t>
      </w:r>
    </w:p>
    <w:p w14:paraId="24402ECC"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Ser capaz de producir innovaciones educativas en el campo de la enseñanza de las matemáticas en educación secundaria a partir de evidencias de investigación de la didáctica de la matemática.</w:t>
      </w:r>
    </w:p>
    <w:p w14:paraId="4D4FFD75"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Conocer y valorar las distintas acciones, programas, jornadas, etc. que se organizan desde la administración y las sociedades de investigación y de profesionales relacionadas con la educación matemática como vía para la actualización y el desarrollo profesional del docente de matemáticas.</w:t>
      </w:r>
    </w:p>
    <w:p w14:paraId="10BB57EF" w14:textId="77777777" w:rsidR="005C5069" w:rsidRPr="003B466F" w:rsidRDefault="005E6590" w:rsidP="003B466F">
      <w:pPr>
        <w:numPr>
          <w:ilvl w:val="0"/>
          <w:numId w:val="2"/>
        </w:numPr>
        <w:jc w:val="both"/>
        <w:rPr>
          <w:rFonts w:ascii="Times New Roman" w:hAnsi="Times New Roman" w:cs="Times New Roman"/>
          <w:sz w:val="24"/>
          <w:szCs w:val="24"/>
        </w:rPr>
      </w:pPr>
      <w:r w:rsidRPr="003B466F">
        <w:rPr>
          <w:rFonts w:ascii="Times New Roman" w:hAnsi="Times New Roman" w:cs="Times New Roman"/>
          <w:sz w:val="24"/>
          <w:szCs w:val="24"/>
        </w:rPr>
        <w:t>Identificar fenómenos y problemáticas del aula de matemáticas que merecen ser investigados y ser capaz de diseñar y llevar a cabo una investigación básica en educación matemática atendiendo a criterios de calidad científica.</w:t>
      </w:r>
    </w:p>
    <w:p w14:paraId="7E292AE9" w14:textId="2837CA87" w:rsidR="005C5069" w:rsidRPr="00AF5B08" w:rsidRDefault="00AF5B08" w:rsidP="003B466F">
      <w:pPr>
        <w:jc w:val="both"/>
        <w:rPr>
          <w:rFonts w:ascii="Times New Roman" w:hAnsi="Times New Roman" w:cs="Times New Roman"/>
          <w:b/>
          <w:bCs/>
          <w:sz w:val="24"/>
          <w:szCs w:val="24"/>
        </w:rPr>
      </w:pPr>
      <w:r w:rsidRPr="00AF5B08">
        <w:rPr>
          <w:rFonts w:ascii="Times New Roman" w:hAnsi="Times New Roman" w:cs="Times New Roman"/>
          <w:b/>
          <w:bCs/>
          <w:sz w:val="24"/>
          <w:szCs w:val="24"/>
        </w:rPr>
        <w:t>Referencias</w:t>
      </w:r>
    </w:p>
    <w:p w14:paraId="0C602A9A" w14:textId="77777777" w:rsidR="005C5069" w:rsidRPr="003B466F" w:rsidRDefault="005E6590" w:rsidP="003B466F">
      <w:pPr>
        <w:jc w:val="both"/>
        <w:rPr>
          <w:rFonts w:ascii="Times New Roman" w:hAnsi="Times New Roman" w:cs="Times New Roman"/>
          <w:i/>
          <w:sz w:val="24"/>
          <w:szCs w:val="24"/>
        </w:rPr>
      </w:pPr>
      <w:r w:rsidRPr="003B466F">
        <w:rPr>
          <w:rFonts w:ascii="Times New Roman" w:hAnsi="Times New Roman" w:cs="Times New Roman"/>
          <w:sz w:val="24"/>
          <w:szCs w:val="24"/>
        </w:rPr>
        <w:t xml:space="preserve">ANECA (2004). </w:t>
      </w:r>
      <w:r w:rsidRPr="003B466F">
        <w:rPr>
          <w:rFonts w:ascii="Times New Roman" w:hAnsi="Times New Roman" w:cs="Times New Roman"/>
          <w:i/>
          <w:sz w:val="24"/>
          <w:szCs w:val="24"/>
        </w:rPr>
        <w:t>Libro Blanco: Título de Grado en Matemáticas.</w:t>
      </w:r>
    </w:p>
    <w:p w14:paraId="604F1675"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Arce, M., Conejo, L. y Muñoz-Escolano, J. M. (2019).</w:t>
      </w:r>
      <w:r w:rsidRPr="003B466F">
        <w:rPr>
          <w:rFonts w:ascii="Times New Roman" w:hAnsi="Times New Roman" w:cs="Times New Roman"/>
          <w:i/>
          <w:sz w:val="24"/>
          <w:szCs w:val="24"/>
        </w:rPr>
        <w:t xml:space="preserve"> Aprendizaje y enseñanza de las matemáticas. </w:t>
      </w:r>
      <w:r w:rsidRPr="003B466F">
        <w:rPr>
          <w:rFonts w:ascii="Times New Roman" w:hAnsi="Times New Roman" w:cs="Times New Roman"/>
          <w:sz w:val="24"/>
          <w:szCs w:val="24"/>
        </w:rPr>
        <w:t xml:space="preserve">Editorial Síntesis. </w:t>
      </w:r>
    </w:p>
    <w:p w14:paraId="551D6F67"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Ball, D. L., Thames, M. H. y Phelps, G. (2008). Content knowledge for teaching: What makes it special? </w:t>
      </w:r>
      <w:r w:rsidRPr="003B466F">
        <w:rPr>
          <w:rFonts w:ascii="Times New Roman" w:hAnsi="Times New Roman" w:cs="Times New Roman"/>
          <w:i/>
          <w:sz w:val="24"/>
          <w:szCs w:val="24"/>
        </w:rPr>
        <w:t>Journal of Teacher Education</w:t>
      </w:r>
      <w:r w:rsidRPr="003B466F">
        <w:rPr>
          <w:rFonts w:ascii="Times New Roman" w:hAnsi="Times New Roman" w:cs="Times New Roman"/>
          <w:sz w:val="24"/>
          <w:szCs w:val="24"/>
        </w:rPr>
        <w:t xml:space="preserve">, </w:t>
      </w:r>
      <w:r w:rsidRPr="003B466F">
        <w:rPr>
          <w:rFonts w:ascii="Times New Roman" w:hAnsi="Times New Roman" w:cs="Times New Roman"/>
          <w:i/>
          <w:sz w:val="24"/>
          <w:szCs w:val="24"/>
        </w:rPr>
        <w:t>59</w:t>
      </w:r>
      <w:r w:rsidRPr="003B466F">
        <w:rPr>
          <w:rFonts w:ascii="Times New Roman" w:hAnsi="Times New Roman" w:cs="Times New Roman"/>
          <w:sz w:val="24"/>
          <w:szCs w:val="24"/>
        </w:rPr>
        <w:t>(5), 389-407.</w:t>
      </w:r>
    </w:p>
    <w:p w14:paraId="6547A7A5"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Boyd, D. J., Grossman, P. L., Lankford, H., Loeb, S. y Wyckoff, J. (2009). Teacher preparation and student achievement. </w:t>
      </w:r>
      <w:r w:rsidRPr="003B466F">
        <w:rPr>
          <w:rFonts w:ascii="Times New Roman" w:hAnsi="Times New Roman" w:cs="Times New Roman"/>
          <w:i/>
          <w:sz w:val="24"/>
          <w:szCs w:val="24"/>
        </w:rPr>
        <w:t>Educational Evaluation and Policy Analysis, 31</w:t>
      </w:r>
      <w:r w:rsidRPr="003B466F">
        <w:rPr>
          <w:rFonts w:ascii="Times New Roman" w:hAnsi="Times New Roman" w:cs="Times New Roman"/>
          <w:sz w:val="24"/>
          <w:szCs w:val="24"/>
        </w:rPr>
        <w:t>, 416–440.</w:t>
      </w:r>
    </w:p>
    <w:p w14:paraId="08F74DFF" w14:textId="140159E9"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Carrillo, J., Climent, N., Montes, M., Contreras, L.C., Flores-Medrano, E., Escudero-Ávila, D., Vasco, D., Rojas, N., Flores, P., Aguilar-González, A., Ribeiro, M., </w:t>
      </w:r>
      <w:r w:rsidR="00833E8D" w:rsidRPr="003B466F">
        <w:rPr>
          <w:rFonts w:ascii="Times New Roman" w:hAnsi="Times New Roman" w:cs="Times New Roman"/>
          <w:sz w:val="24"/>
          <w:szCs w:val="24"/>
        </w:rPr>
        <w:t>y Muñoz</w:t>
      </w:r>
      <w:r w:rsidRPr="003B466F">
        <w:rPr>
          <w:rFonts w:ascii="Times New Roman" w:hAnsi="Times New Roman" w:cs="Times New Roman"/>
          <w:sz w:val="24"/>
          <w:szCs w:val="24"/>
        </w:rPr>
        <w:t xml:space="preserve">-Catalán, M.C. (2018). The mathematics teacher’s specialised knowledge (MTSK) model. </w:t>
      </w:r>
      <w:r w:rsidRPr="003B466F">
        <w:rPr>
          <w:rFonts w:ascii="Times New Roman" w:hAnsi="Times New Roman" w:cs="Times New Roman"/>
          <w:i/>
          <w:sz w:val="24"/>
          <w:szCs w:val="24"/>
        </w:rPr>
        <w:t>Research in Mathematics Education</w:t>
      </w:r>
      <w:r w:rsidRPr="003B466F">
        <w:rPr>
          <w:rFonts w:ascii="Times New Roman" w:hAnsi="Times New Roman" w:cs="Times New Roman"/>
          <w:sz w:val="24"/>
          <w:szCs w:val="24"/>
        </w:rPr>
        <w:t xml:space="preserve">, </w:t>
      </w:r>
      <w:r w:rsidRPr="003B466F">
        <w:rPr>
          <w:rFonts w:ascii="Times New Roman" w:hAnsi="Times New Roman" w:cs="Times New Roman"/>
          <w:i/>
          <w:sz w:val="24"/>
          <w:szCs w:val="24"/>
        </w:rPr>
        <w:t>20</w:t>
      </w:r>
      <w:r w:rsidRPr="003B466F">
        <w:rPr>
          <w:rFonts w:ascii="Times New Roman" w:hAnsi="Times New Roman" w:cs="Times New Roman"/>
          <w:sz w:val="24"/>
          <w:szCs w:val="24"/>
        </w:rPr>
        <w:t xml:space="preserve">(3), 236-253. </w:t>
      </w:r>
    </w:p>
    <w:p w14:paraId="1277D614"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EURYDICE (2024). </w:t>
      </w:r>
      <w:r w:rsidRPr="003B466F">
        <w:rPr>
          <w:rFonts w:ascii="Times New Roman" w:hAnsi="Times New Roman" w:cs="Times New Roman"/>
          <w:i/>
          <w:sz w:val="24"/>
          <w:szCs w:val="24"/>
        </w:rPr>
        <w:t>National Education Systems.</w:t>
      </w:r>
      <w:r w:rsidRPr="003B466F">
        <w:rPr>
          <w:rFonts w:ascii="Times New Roman" w:hAnsi="Times New Roman" w:cs="Times New Roman"/>
          <w:sz w:val="24"/>
          <w:szCs w:val="24"/>
        </w:rPr>
        <w:t xml:space="preserve"> Disponible en: https://eurydice.eacea.ec.europa.eu/national-education-systems</w:t>
      </w:r>
    </w:p>
    <w:p w14:paraId="1A5C77B6"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Font, V. (2011). Competencias profesionales en la formación inicial de profesores de matemáticas de secundaria. </w:t>
      </w:r>
      <w:r w:rsidRPr="003B466F">
        <w:rPr>
          <w:rFonts w:ascii="Times New Roman" w:hAnsi="Times New Roman" w:cs="Times New Roman"/>
          <w:i/>
          <w:sz w:val="24"/>
          <w:szCs w:val="24"/>
        </w:rPr>
        <w:t>UNIÓN: Revista Latinoamericana de Educación Matemática, 26</w:t>
      </w:r>
      <w:r w:rsidRPr="003B466F">
        <w:rPr>
          <w:rFonts w:ascii="Times New Roman" w:hAnsi="Times New Roman" w:cs="Times New Roman"/>
          <w:sz w:val="24"/>
          <w:szCs w:val="24"/>
        </w:rPr>
        <w:t xml:space="preserve">, 9-25. </w:t>
      </w:r>
    </w:p>
    <w:p w14:paraId="68694EAA"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lastRenderedPageBreak/>
        <w:t>Font, V., Rubio, N., Giménez J. y Planas, N. (2009). Competencias profesionales en el máster de profesorado de secundaria.</w:t>
      </w:r>
      <w:r w:rsidRPr="003B466F">
        <w:rPr>
          <w:rFonts w:ascii="Times New Roman" w:hAnsi="Times New Roman" w:cs="Times New Roman"/>
          <w:i/>
          <w:sz w:val="24"/>
          <w:szCs w:val="24"/>
        </w:rPr>
        <w:t xml:space="preserve"> Uno: Revista de didáctica de las matemáticas, 51</w:t>
      </w:r>
      <w:r w:rsidRPr="003B466F">
        <w:rPr>
          <w:rFonts w:ascii="Times New Roman" w:hAnsi="Times New Roman" w:cs="Times New Roman"/>
          <w:sz w:val="24"/>
          <w:szCs w:val="24"/>
        </w:rPr>
        <w:t>, 9-18.</w:t>
      </w:r>
    </w:p>
    <w:p w14:paraId="2AFBCFE3"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Garrido, R. (2019). La formación inicial del profesorado de Matemáticas de Educación Secundaria en la Comunidad de Madrid: análisis de sus planes de estudios. En J. Manso (coord.), </w:t>
      </w:r>
      <w:r w:rsidRPr="003B466F">
        <w:rPr>
          <w:rFonts w:ascii="Times New Roman" w:hAnsi="Times New Roman" w:cs="Times New Roman"/>
          <w:i/>
          <w:sz w:val="24"/>
          <w:szCs w:val="24"/>
        </w:rPr>
        <w:t>La formación inicial del profesorado en España: Análisis de los planes de estudios tras una década desde su implementación</w:t>
      </w:r>
      <w:r w:rsidRPr="003B466F">
        <w:rPr>
          <w:rFonts w:ascii="Times New Roman" w:hAnsi="Times New Roman" w:cs="Times New Roman"/>
          <w:sz w:val="24"/>
          <w:szCs w:val="24"/>
        </w:rPr>
        <w:t xml:space="preserve"> (pp. 119-131). Ministerio de Educación y Formación Profesional. </w:t>
      </w:r>
    </w:p>
    <w:p w14:paraId="1963022C"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Godino, J. D., Giacomone, B., Batanero, C. y Font, V. (2017). Enfoque Ontosemiótico de los Conocimientos y Competencias del Profesor de Matemáticas. </w:t>
      </w:r>
      <w:r w:rsidRPr="003B466F">
        <w:rPr>
          <w:rFonts w:ascii="Times New Roman" w:hAnsi="Times New Roman" w:cs="Times New Roman"/>
          <w:i/>
          <w:sz w:val="24"/>
          <w:szCs w:val="24"/>
        </w:rPr>
        <w:t>Bolema, 31</w:t>
      </w:r>
      <w:r w:rsidRPr="003B466F">
        <w:rPr>
          <w:rFonts w:ascii="Times New Roman" w:hAnsi="Times New Roman" w:cs="Times New Roman"/>
          <w:sz w:val="24"/>
          <w:szCs w:val="24"/>
        </w:rPr>
        <w:t xml:space="preserve">(57), 90-113. </w:t>
      </w:r>
    </w:p>
    <w:p w14:paraId="06570923"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Jacobs, V. R., Lamb. L. L. C. y Philipp, R. A. (2010). Professional noticing of children’s mathematical thinking.</w:t>
      </w:r>
      <w:r w:rsidRPr="003B466F">
        <w:rPr>
          <w:rFonts w:ascii="Times New Roman" w:hAnsi="Times New Roman" w:cs="Times New Roman"/>
          <w:i/>
          <w:sz w:val="24"/>
          <w:szCs w:val="24"/>
        </w:rPr>
        <w:t xml:space="preserve"> Journal for Research in Mathematics Education, 41</w:t>
      </w:r>
      <w:r w:rsidRPr="003B466F">
        <w:rPr>
          <w:rFonts w:ascii="Times New Roman" w:hAnsi="Times New Roman" w:cs="Times New Roman"/>
          <w:sz w:val="24"/>
          <w:szCs w:val="24"/>
        </w:rPr>
        <w:t xml:space="preserve">(2), 169-202. </w:t>
      </w:r>
    </w:p>
    <w:p w14:paraId="54062B33" w14:textId="77777777" w:rsidR="005C5069" w:rsidRPr="003B466F" w:rsidRDefault="005E6590" w:rsidP="003B466F">
      <w:pPr>
        <w:jc w:val="both"/>
        <w:rPr>
          <w:rFonts w:ascii="Times New Roman" w:hAnsi="Times New Roman" w:cs="Times New Roman"/>
          <w:i/>
          <w:sz w:val="24"/>
          <w:szCs w:val="24"/>
        </w:rPr>
      </w:pPr>
      <w:r w:rsidRPr="003B466F">
        <w:rPr>
          <w:rFonts w:ascii="Times New Roman" w:hAnsi="Times New Roman" w:cs="Times New Roman"/>
          <w:sz w:val="24"/>
          <w:szCs w:val="24"/>
        </w:rPr>
        <w:t xml:space="preserve">Ministerio de Educación y Ciencia (2007). </w:t>
      </w:r>
      <w:r w:rsidRPr="003B466F">
        <w:rPr>
          <w:rFonts w:ascii="Times New Roman" w:hAnsi="Times New Roman" w:cs="Times New Roman"/>
          <w:i/>
          <w:sz w:val="24"/>
          <w:szCs w:val="24"/>
        </w:rPr>
        <w:t>Orden ECI/3858/2007, de 27 de diciembre por la que se establecen los requisitos para la verificación de los títulos universitarios oficiales que habiliten para el ejercicio de las profesiones de Profesor de Educación Secundaria Obligatoria y Bachillerato, Formación Profesional y Enseñanzas de Idiomas.</w:t>
      </w:r>
    </w:p>
    <w:p w14:paraId="0BB4392B"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Ministerio de Educación y Formación Profesional (2022a). </w:t>
      </w:r>
      <w:r w:rsidRPr="003B466F">
        <w:rPr>
          <w:rFonts w:ascii="Times New Roman" w:hAnsi="Times New Roman" w:cs="Times New Roman"/>
          <w:i/>
          <w:sz w:val="24"/>
          <w:szCs w:val="24"/>
        </w:rPr>
        <w:t xml:space="preserve">Real Decreto 217/2022, de 29 de marzo, por el que se establece la ordenación y las enseñanzas mínimas de la Educación Secundaria Obligatoria. </w:t>
      </w:r>
      <w:r w:rsidRPr="003B466F">
        <w:rPr>
          <w:rFonts w:ascii="Times New Roman" w:hAnsi="Times New Roman" w:cs="Times New Roman"/>
          <w:sz w:val="24"/>
          <w:szCs w:val="24"/>
        </w:rPr>
        <w:t xml:space="preserve">Autor. </w:t>
      </w:r>
    </w:p>
    <w:p w14:paraId="1C01E0D8"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Ministerio de Educación y Formación Profesional (2022b). </w:t>
      </w:r>
      <w:r w:rsidRPr="003B466F">
        <w:rPr>
          <w:rFonts w:ascii="Times New Roman" w:hAnsi="Times New Roman" w:cs="Times New Roman"/>
          <w:i/>
          <w:sz w:val="24"/>
          <w:szCs w:val="24"/>
        </w:rPr>
        <w:t xml:space="preserve">Real Decreto 243/2022, de 5 de abril, por el que se establecen la ordenación y las enseñanzas mínimas del Bachillerato. </w:t>
      </w:r>
      <w:r w:rsidRPr="003B466F">
        <w:rPr>
          <w:rFonts w:ascii="Times New Roman" w:hAnsi="Times New Roman" w:cs="Times New Roman"/>
          <w:sz w:val="24"/>
          <w:szCs w:val="24"/>
        </w:rPr>
        <w:t xml:space="preserve">Autor. </w:t>
      </w:r>
    </w:p>
    <w:p w14:paraId="0F1B771E"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Mullis,  I. V. S., Martin, M. O, Goh, S. y Cotter, K. (Eds). (2016). </w:t>
      </w:r>
      <w:r w:rsidRPr="003B466F">
        <w:rPr>
          <w:rFonts w:ascii="Times New Roman" w:hAnsi="Times New Roman" w:cs="Times New Roman"/>
          <w:i/>
          <w:sz w:val="24"/>
          <w:szCs w:val="24"/>
        </w:rPr>
        <w:t xml:space="preserve">TIMSS 2015 Encyclopedia: Education Policy and Curriculum in Mathematics and Science. </w:t>
      </w:r>
      <w:r w:rsidRPr="003B466F">
        <w:rPr>
          <w:rFonts w:ascii="Times New Roman" w:hAnsi="Times New Roman" w:cs="Times New Roman"/>
          <w:sz w:val="24"/>
          <w:szCs w:val="24"/>
        </w:rPr>
        <w:t>TIMSS &amp; PIRLS International Study Center.</w:t>
      </w:r>
    </w:p>
    <w:p w14:paraId="2BB579AA" w14:textId="77777777" w:rsidR="005C5069"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Muñiz-Rodríguez, L, Alonso, P., Rodríguez, L. J. y Valcke, M. (2016). ¿Hay un vacío en la formación inicial del profesorado de matemáticas de Secundaria en España respecto a otros países? </w:t>
      </w:r>
      <w:r w:rsidRPr="003B466F">
        <w:rPr>
          <w:rFonts w:ascii="Times New Roman" w:hAnsi="Times New Roman" w:cs="Times New Roman"/>
          <w:i/>
          <w:sz w:val="24"/>
          <w:szCs w:val="24"/>
        </w:rPr>
        <w:t xml:space="preserve">Revista de Educación, 372, </w:t>
      </w:r>
      <w:r w:rsidRPr="003B466F">
        <w:rPr>
          <w:rFonts w:ascii="Times New Roman" w:hAnsi="Times New Roman" w:cs="Times New Roman"/>
          <w:sz w:val="24"/>
          <w:szCs w:val="24"/>
        </w:rPr>
        <w:t>111-140.</w:t>
      </w:r>
    </w:p>
    <w:p w14:paraId="3FE5E74D" w14:textId="0020F162" w:rsidR="00A90A89" w:rsidRPr="003B466F" w:rsidRDefault="00A90A89" w:rsidP="005E6590">
      <w:pPr>
        <w:jc w:val="both"/>
        <w:rPr>
          <w:rFonts w:ascii="Times New Roman" w:hAnsi="Times New Roman" w:cs="Times New Roman"/>
          <w:sz w:val="24"/>
          <w:szCs w:val="24"/>
        </w:rPr>
      </w:pPr>
      <w:r>
        <w:rPr>
          <w:rFonts w:ascii="Times New Roman" w:hAnsi="Times New Roman" w:cs="Times New Roman"/>
          <w:sz w:val="24"/>
          <w:szCs w:val="24"/>
        </w:rPr>
        <w:t xml:space="preserve">Niss, M. (2011). </w:t>
      </w:r>
      <w:r w:rsidR="005E6590" w:rsidRPr="005E6590">
        <w:rPr>
          <w:rFonts w:ascii="Times New Roman" w:hAnsi="Times New Roman" w:cs="Times New Roman"/>
          <w:sz w:val="24"/>
          <w:szCs w:val="24"/>
        </w:rPr>
        <w:t xml:space="preserve">The Danish KOM Proyect and possible consequences for teacher education. </w:t>
      </w:r>
      <w:r w:rsidR="005E6590" w:rsidRPr="005E6590">
        <w:rPr>
          <w:rFonts w:ascii="Times New Roman" w:hAnsi="Times New Roman" w:cs="Times New Roman"/>
          <w:i/>
          <w:iCs/>
          <w:sz w:val="24"/>
          <w:szCs w:val="24"/>
        </w:rPr>
        <w:t>Cuadernos de Investigación y Formación en Educación Matemática</w:t>
      </w:r>
      <w:r w:rsidR="005E6590">
        <w:rPr>
          <w:rFonts w:ascii="Times New Roman" w:hAnsi="Times New Roman" w:cs="Times New Roman"/>
          <w:i/>
          <w:iCs/>
          <w:sz w:val="24"/>
          <w:szCs w:val="24"/>
        </w:rPr>
        <w:t>,</w:t>
      </w:r>
      <w:r w:rsidR="005E6590" w:rsidRPr="005E6590">
        <w:rPr>
          <w:rFonts w:ascii="Times New Roman" w:hAnsi="Times New Roman" w:cs="Times New Roman"/>
          <w:i/>
          <w:iCs/>
          <w:sz w:val="24"/>
          <w:szCs w:val="24"/>
        </w:rPr>
        <w:t xml:space="preserve"> 6</w:t>
      </w:r>
      <w:r w:rsidR="005E6590" w:rsidRPr="005E6590">
        <w:rPr>
          <w:rFonts w:ascii="Times New Roman" w:hAnsi="Times New Roman" w:cs="Times New Roman"/>
          <w:sz w:val="24"/>
          <w:szCs w:val="24"/>
        </w:rPr>
        <w:t>(9), 13-24.</w:t>
      </w:r>
    </w:p>
    <w:p w14:paraId="6C093856"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OCDE (2004). </w:t>
      </w:r>
      <w:r w:rsidRPr="003B466F">
        <w:rPr>
          <w:rFonts w:ascii="Times New Roman" w:hAnsi="Times New Roman" w:cs="Times New Roman"/>
          <w:i/>
          <w:sz w:val="24"/>
          <w:szCs w:val="24"/>
        </w:rPr>
        <w:t xml:space="preserve">Marcos teóricos de PISA 2003. Conocimientos y destrezas en Matemáticas, Lectura, Ciencias y Solución de Problemas. </w:t>
      </w:r>
      <w:r w:rsidRPr="003B466F">
        <w:rPr>
          <w:rFonts w:ascii="Times New Roman" w:hAnsi="Times New Roman" w:cs="Times New Roman"/>
          <w:sz w:val="24"/>
          <w:szCs w:val="24"/>
        </w:rPr>
        <w:t>INECSE (traducción del original en inglés de 2003)</w:t>
      </w:r>
    </w:p>
    <w:p w14:paraId="38C32351"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OCDE (2023). </w:t>
      </w:r>
      <w:r w:rsidRPr="003B466F">
        <w:rPr>
          <w:rFonts w:ascii="Times New Roman" w:hAnsi="Times New Roman" w:cs="Times New Roman"/>
          <w:i/>
          <w:sz w:val="24"/>
          <w:szCs w:val="24"/>
        </w:rPr>
        <w:t xml:space="preserve">PISA 2022 Assessment and Analytical Framework. </w:t>
      </w:r>
      <w:r w:rsidRPr="003B466F">
        <w:rPr>
          <w:rFonts w:ascii="Times New Roman" w:hAnsi="Times New Roman" w:cs="Times New Roman"/>
          <w:sz w:val="24"/>
          <w:szCs w:val="24"/>
        </w:rPr>
        <w:t xml:space="preserve">Autor. </w:t>
      </w:r>
    </w:p>
    <w:p w14:paraId="312EBFCE"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Recio, T. (2004). Seminario: “Itinerario educativo de la licenciatura de Matemáticas”. Documento de conclusiones y propuestas. </w:t>
      </w:r>
      <w:r w:rsidRPr="003B466F">
        <w:rPr>
          <w:rFonts w:ascii="Times New Roman" w:hAnsi="Times New Roman" w:cs="Times New Roman"/>
          <w:i/>
          <w:sz w:val="24"/>
          <w:szCs w:val="24"/>
        </w:rPr>
        <w:t>SUMA, 45</w:t>
      </w:r>
      <w:r w:rsidRPr="003B466F">
        <w:rPr>
          <w:rFonts w:ascii="Times New Roman" w:hAnsi="Times New Roman" w:cs="Times New Roman"/>
          <w:sz w:val="24"/>
          <w:szCs w:val="24"/>
        </w:rPr>
        <w:t xml:space="preserve">, 135-136. </w:t>
      </w:r>
    </w:p>
    <w:p w14:paraId="69811275"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lastRenderedPageBreak/>
        <w:t xml:space="preserve">Rico, L. (2004). Reflexiones sobre la formación inicial del profesor de matemáticas de secundaria. </w:t>
      </w:r>
      <w:r w:rsidRPr="003B466F">
        <w:rPr>
          <w:rFonts w:ascii="Times New Roman" w:hAnsi="Times New Roman" w:cs="Times New Roman"/>
          <w:i/>
          <w:sz w:val="24"/>
          <w:szCs w:val="24"/>
        </w:rPr>
        <w:t>Profesorado. Revista de Currículum y Formación del Profesorado, 8</w:t>
      </w:r>
      <w:r w:rsidRPr="003B466F">
        <w:rPr>
          <w:rFonts w:ascii="Times New Roman" w:hAnsi="Times New Roman" w:cs="Times New Roman"/>
          <w:sz w:val="24"/>
          <w:szCs w:val="24"/>
        </w:rPr>
        <w:t>(1), 1-15.</w:t>
      </w:r>
    </w:p>
    <w:p w14:paraId="17ADFD6E"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Rodríguez-Muñiz, L. J., Crespo, R., Díaz, I., Fioravanti, M., García-Raffi, L. M., González-Vasco, M. I., González, L., Lafuente, M., Montejo-Gámez, J., Ortega, F. A. y Mallavibarrena, R. (2020). Los estudios de matemáticas en el ámbito universitario. En D. Martín, T. Chacón, G. Curbera, F. Marcellán y M. Siles (Coord.), </w:t>
      </w:r>
      <w:r w:rsidRPr="003B466F">
        <w:rPr>
          <w:rFonts w:ascii="Times New Roman" w:hAnsi="Times New Roman" w:cs="Times New Roman"/>
          <w:i/>
          <w:sz w:val="24"/>
          <w:szCs w:val="24"/>
        </w:rPr>
        <w:t>Libro Blanco de las Matemáticas</w:t>
      </w:r>
      <w:r w:rsidRPr="003B466F">
        <w:rPr>
          <w:rFonts w:ascii="Times New Roman" w:hAnsi="Times New Roman" w:cs="Times New Roman"/>
          <w:sz w:val="24"/>
          <w:szCs w:val="24"/>
        </w:rPr>
        <w:t xml:space="preserve"> (pp. 132-142). RSME y Fundación Ramón Areces. </w:t>
      </w:r>
    </w:p>
    <w:p w14:paraId="08E02028"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Rowland, T., Huckstep, P. y Thwaites, A. (2005) Elementary teachers' mathematics subject knowledge: the knowledge quartet and the case of Naomi. </w:t>
      </w:r>
      <w:r w:rsidRPr="003B466F">
        <w:rPr>
          <w:rFonts w:ascii="Times New Roman" w:hAnsi="Times New Roman" w:cs="Times New Roman"/>
          <w:i/>
          <w:sz w:val="24"/>
          <w:szCs w:val="24"/>
        </w:rPr>
        <w:t>Journal of Mathematics Teacher Education,</w:t>
      </w:r>
      <w:r w:rsidRPr="003B466F">
        <w:rPr>
          <w:rFonts w:ascii="Times New Roman" w:hAnsi="Times New Roman" w:cs="Times New Roman"/>
          <w:sz w:val="24"/>
          <w:szCs w:val="24"/>
        </w:rPr>
        <w:t xml:space="preserve"> </w:t>
      </w:r>
      <w:r w:rsidRPr="003B466F">
        <w:rPr>
          <w:rFonts w:ascii="Times New Roman" w:hAnsi="Times New Roman" w:cs="Times New Roman"/>
          <w:i/>
          <w:sz w:val="24"/>
          <w:szCs w:val="24"/>
        </w:rPr>
        <w:t>8</w:t>
      </w:r>
      <w:r w:rsidRPr="003B466F">
        <w:rPr>
          <w:rFonts w:ascii="Times New Roman" w:hAnsi="Times New Roman" w:cs="Times New Roman"/>
          <w:sz w:val="24"/>
          <w:szCs w:val="24"/>
        </w:rPr>
        <w:t>(3), 255-281.</w:t>
      </w:r>
    </w:p>
    <w:p w14:paraId="193E650B" w14:textId="2B08363B"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Sánchez-Matamoros, G., Fernández, C. y Llinares, S. (2019). Relationships among prospective secondary mathematics teachers’ skills of attending, interpreting and responding to students’ understanding. </w:t>
      </w:r>
      <w:r w:rsidRPr="003B466F">
        <w:rPr>
          <w:rFonts w:ascii="Times New Roman" w:hAnsi="Times New Roman" w:cs="Times New Roman"/>
          <w:i/>
          <w:sz w:val="24"/>
          <w:szCs w:val="24"/>
        </w:rPr>
        <w:t xml:space="preserve">Educational Studies in Mathematics, 100, </w:t>
      </w:r>
      <w:r w:rsidRPr="003B466F">
        <w:rPr>
          <w:rFonts w:ascii="Times New Roman" w:hAnsi="Times New Roman" w:cs="Times New Roman"/>
          <w:sz w:val="24"/>
          <w:szCs w:val="24"/>
        </w:rPr>
        <w:t>83-</w:t>
      </w:r>
      <w:r w:rsidR="00833E8D" w:rsidRPr="003B466F">
        <w:rPr>
          <w:rFonts w:ascii="Times New Roman" w:hAnsi="Times New Roman" w:cs="Times New Roman"/>
          <w:sz w:val="24"/>
          <w:szCs w:val="24"/>
        </w:rPr>
        <w:t>99.</w:t>
      </w:r>
    </w:p>
    <w:p w14:paraId="09B7078E"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Schön, D. A. (1983). </w:t>
      </w:r>
      <w:r w:rsidRPr="003B466F">
        <w:rPr>
          <w:rFonts w:ascii="Times New Roman" w:hAnsi="Times New Roman" w:cs="Times New Roman"/>
          <w:i/>
          <w:sz w:val="24"/>
          <w:szCs w:val="24"/>
        </w:rPr>
        <w:t xml:space="preserve">The reflective practitioner. How professionals think in action. </w:t>
      </w:r>
      <w:r w:rsidRPr="003B466F">
        <w:rPr>
          <w:rFonts w:ascii="Times New Roman" w:hAnsi="Times New Roman" w:cs="Times New Roman"/>
          <w:sz w:val="24"/>
          <w:szCs w:val="24"/>
        </w:rPr>
        <w:t xml:space="preserve">Basic Books. </w:t>
      </w:r>
    </w:p>
    <w:p w14:paraId="4DA97AAC" w14:textId="77777777" w:rsidR="005C5069" w:rsidRPr="003B466F" w:rsidRDefault="005E6590" w:rsidP="003B466F">
      <w:pPr>
        <w:jc w:val="both"/>
        <w:rPr>
          <w:rFonts w:ascii="Times New Roman" w:hAnsi="Times New Roman" w:cs="Times New Roman"/>
          <w:i/>
          <w:sz w:val="24"/>
          <w:szCs w:val="24"/>
        </w:rPr>
      </w:pPr>
      <w:r w:rsidRPr="003B466F">
        <w:rPr>
          <w:rFonts w:ascii="Times New Roman" w:hAnsi="Times New Roman" w:cs="Times New Roman"/>
          <w:sz w:val="24"/>
          <w:szCs w:val="24"/>
        </w:rPr>
        <w:t xml:space="preserve">SEIEM (2022). </w:t>
      </w:r>
      <w:r w:rsidRPr="003B466F">
        <w:rPr>
          <w:rFonts w:ascii="Times New Roman" w:hAnsi="Times New Roman" w:cs="Times New Roman"/>
          <w:i/>
          <w:sz w:val="24"/>
          <w:szCs w:val="24"/>
        </w:rPr>
        <w:t xml:space="preserve">Debate sobre el documento: 24 propuestas de reforma para la mejora de la profesión docente. </w:t>
      </w:r>
    </w:p>
    <w:p w14:paraId="79D3F923"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Shulman, L. (1986). Those who understand: Knowledge growth in teaching. </w:t>
      </w:r>
      <w:r w:rsidRPr="003B466F">
        <w:rPr>
          <w:rFonts w:ascii="Times New Roman" w:hAnsi="Times New Roman" w:cs="Times New Roman"/>
          <w:i/>
          <w:sz w:val="24"/>
          <w:szCs w:val="24"/>
        </w:rPr>
        <w:t>Educational Researcher, 15</w:t>
      </w:r>
      <w:r w:rsidRPr="003B466F">
        <w:rPr>
          <w:rFonts w:ascii="Times New Roman" w:hAnsi="Times New Roman" w:cs="Times New Roman"/>
          <w:sz w:val="24"/>
          <w:szCs w:val="24"/>
        </w:rPr>
        <w:t xml:space="preserve">(2), 4-14. </w:t>
      </w:r>
    </w:p>
    <w:p w14:paraId="5409C00E" w14:textId="77777777" w:rsidR="005C5069" w:rsidRPr="003B466F" w:rsidRDefault="005E6590" w:rsidP="003B466F">
      <w:pPr>
        <w:jc w:val="both"/>
        <w:rPr>
          <w:rFonts w:ascii="Times New Roman" w:hAnsi="Times New Roman" w:cs="Times New Roman"/>
          <w:sz w:val="24"/>
          <w:szCs w:val="24"/>
        </w:rPr>
      </w:pPr>
      <w:r w:rsidRPr="003B466F">
        <w:rPr>
          <w:rFonts w:ascii="Times New Roman" w:hAnsi="Times New Roman" w:cs="Times New Roman"/>
          <w:sz w:val="24"/>
          <w:szCs w:val="24"/>
        </w:rPr>
        <w:t xml:space="preserve">Shulman, L. (1987). Knowledge and teaching: Foundations of the new reform. </w:t>
      </w:r>
      <w:r w:rsidRPr="003B466F">
        <w:rPr>
          <w:rFonts w:ascii="Times New Roman" w:hAnsi="Times New Roman" w:cs="Times New Roman"/>
          <w:i/>
          <w:sz w:val="24"/>
          <w:szCs w:val="24"/>
        </w:rPr>
        <w:t>Harvard Educational Review, 57</w:t>
      </w:r>
      <w:r w:rsidRPr="003B466F">
        <w:rPr>
          <w:rFonts w:ascii="Times New Roman" w:hAnsi="Times New Roman" w:cs="Times New Roman"/>
          <w:sz w:val="24"/>
          <w:szCs w:val="24"/>
        </w:rPr>
        <w:t xml:space="preserve">(1), 1-23. </w:t>
      </w:r>
    </w:p>
    <w:sectPr w:rsidR="005C5069" w:rsidRPr="003B466F">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DBCA61" w14:textId="77777777" w:rsidR="00DE67B7" w:rsidRDefault="00DE67B7" w:rsidP="00DE67B7">
      <w:pPr>
        <w:spacing w:after="0" w:line="240" w:lineRule="auto"/>
      </w:pPr>
      <w:r>
        <w:separator/>
      </w:r>
    </w:p>
  </w:endnote>
  <w:endnote w:type="continuationSeparator" w:id="0">
    <w:p w14:paraId="2FAEB82A" w14:textId="77777777" w:rsidR="00DE67B7" w:rsidRDefault="00DE67B7" w:rsidP="00DE6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711C956-DFFD-4452-AD8B-6E3CA697672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9D5E6D6-599A-4A4D-A2C5-B8A1447315C8}"/>
    <w:embedBold r:id="rId3" w:fontKey="{58DBEAFC-39DE-4D9B-A4CD-113DAF24C75A}"/>
    <w:embedItalic r:id="rId4" w:fontKey="{7C6D2AF3-FA01-452A-8AF1-BBF508E5ED00}"/>
  </w:font>
  <w:font w:name="Calibri Light">
    <w:panose1 w:val="020F0302020204030204"/>
    <w:charset w:val="00"/>
    <w:family w:val="swiss"/>
    <w:pitch w:val="variable"/>
    <w:sig w:usb0="E4002EFF" w:usb1="C200247B" w:usb2="00000009" w:usb3="00000000" w:csb0="000001FF" w:csb1="00000000"/>
    <w:embedRegular r:id="rId5" w:fontKey="{CB1C4E9A-B371-44E5-9B4D-A1308B823AE7}"/>
  </w:font>
  <w:font w:name="Cambria">
    <w:panose1 w:val="02040503050406030204"/>
    <w:charset w:val="00"/>
    <w:family w:val="roman"/>
    <w:pitch w:val="variable"/>
    <w:sig w:usb0="E00006FF" w:usb1="420024FF" w:usb2="02000000" w:usb3="00000000" w:csb0="0000019F" w:csb1="00000000"/>
    <w:embedRegular r:id="rId6" w:fontKey="{3B2F0794-A8EE-42CF-B006-3D720CA74ADA}"/>
    <w:embedItalic r:id="rId7" w:fontKey="{8C9E5E51-03E0-441F-9A58-3BF43C9A203D}"/>
  </w:font>
  <w:font w:name="Merriweather">
    <w:charset w:val="00"/>
    <w:family w:val="auto"/>
    <w:pitch w:val="variable"/>
    <w:sig w:usb0="20000207" w:usb1="00000002" w:usb2="00000000" w:usb3="00000000" w:csb0="00000197" w:csb1="00000000"/>
    <w:embedRegular r:id="rId8" w:fontKey="{493CDBC8-7F86-47B5-BB38-3CF1C41F2E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3D7B24" w14:textId="77777777" w:rsidR="00DE67B7" w:rsidRDefault="00DE67B7" w:rsidP="00DE67B7">
      <w:pPr>
        <w:spacing w:after="0" w:line="240" w:lineRule="auto"/>
      </w:pPr>
      <w:r>
        <w:separator/>
      </w:r>
    </w:p>
  </w:footnote>
  <w:footnote w:type="continuationSeparator" w:id="0">
    <w:p w14:paraId="0DC06F76" w14:textId="77777777" w:rsidR="00DE67B7" w:rsidRDefault="00DE67B7" w:rsidP="00DE67B7">
      <w:pPr>
        <w:spacing w:after="0" w:line="240" w:lineRule="auto"/>
      </w:pPr>
      <w:r>
        <w:continuationSeparator/>
      </w:r>
    </w:p>
  </w:footnote>
  <w:footnote w:id="1">
    <w:p w14:paraId="1F1F7842" w14:textId="1093A99C" w:rsidR="00DE67B7" w:rsidRDefault="00DE67B7" w:rsidP="00DE67B7">
      <w:pPr>
        <w:pStyle w:val="Textonotapie"/>
        <w:jc w:val="both"/>
      </w:pPr>
      <w:r>
        <w:rPr>
          <w:rStyle w:val="Refdenotaalpie"/>
        </w:rPr>
        <w:footnoteRef/>
      </w:r>
      <w:r>
        <w:t xml:space="preserve"> </w:t>
      </w:r>
      <w:r w:rsidRPr="00DE67B7">
        <w:rPr>
          <w:rFonts w:ascii="Times New Roman" w:hAnsi="Times New Roman" w:cs="Times New Roman"/>
          <w:iCs/>
        </w:rPr>
        <w:t>Este documento ha sido elaborado en un primer momento por un grupo de trabajo de la SEIEM compuesto por Matías Arce (Universidad de Valladolid</w:t>
      </w:r>
      <w:r w:rsidR="006E78F4">
        <w:rPr>
          <w:rFonts w:ascii="Times New Roman" w:hAnsi="Times New Roman" w:cs="Times New Roman"/>
          <w:iCs/>
        </w:rPr>
        <w:t>, coordinador</w:t>
      </w:r>
      <w:r w:rsidRPr="00DE67B7">
        <w:rPr>
          <w:rFonts w:ascii="Times New Roman" w:hAnsi="Times New Roman" w:cs="Times New Roman"/>
          <w:iCs/>
        </w:rPr>
        <w:t>), David Arnau (Universitat de Valencia), Sergio Martínez-Juste (Universidad de Zaragoza) y Antonio Moreno (Universidad de Granada). En un segundo momento se ha sometido el documento a la revisión de los socios de SEIEM y se han incorporado las sugerencias recibidas</w:t>
      </w:r>
    </w:p>
  </w:footnote>
  <w:footnote w:id="2">
    <w:p w14:paraId="5538ABC4" w14:textId="77777777" w:rsidR="000A1E75" w:rsidRDefault="000A1E75" w:rsidP="000A1E75">
      <w:pPr>
        <w:pStyle w:val="Textonotapie"/>
        <w:jc w:val="both"/>
      </w:pPr>
      <w:r>
        <w:rPr>
          <w:rStyle w:val="Refdenotaalpie"/>
        </w:rPr>
        <w:footnoteRef/>
      </w:r>
      <w:r>
        <w:t xml:space="preserve"> </w:t>
      </w:r>
      <w:r w:rsidRPr="00DE67B7">
        <w:rPr>
          <w:rFonts w:ascii="Times New Roman" w:hAnsi="Times New Roman" w:cs="Times New Roman"/>
          <w:iCs/>
        </w:rPr>
        <w:t>Este documento ha sido elaborado en un primer momento por un grupo de trabajo de la SEIEM compuesto por Matías Arce (Universidad de Valladolid</w:t>
      </w:r>
      <w:r>
        <w:rPr>
          <w:rFonts w:ascii="Times New Roman" w:hAnsi="Times New Roman" w:cs="Times New Roman"/>
          <w:iCs/>
        </w:rPr>
        <w:t>, coordinador</w:t>
      </w:r>
      <w:r w:rsidRPr="00DE67B7">
        <w:rPr>
          <w:rFonts w:ascii="Times New Roman" w:hAnsi="Times New Roman" w:cs="Times New Roman"/>
          <w:iCs/>
        </w:rPr>
        <w:t>), David Arnau (Universitat de Valencia), Sergio Martínez-Juste (Universidad de Zaragoza) y Antonio Moreno (Universidad de Granada). En un segundo momento se ha sometido el documento a la revisión de los socios de SEIEM y se han incorporado las sugerencias recibidas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ED4DB0"/>
    <w:multiLevelType w:val="multilevel"/>
    <w:tmpl w:val="22849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F2670A"/>
    <w:multiLevelType w:val="multilevel"/>
    <w:tmpl w:val="8328F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C91046"/>
    <w:multiLevelType w:val="multilevel"/>
    <w:tmpl w:val="020E3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286405"/>
    <w:multiLevelType w:val="multilevel"/>
    <w:tmpl w:val="BE368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4D53C2"/>
    <w:multiLevelType w:val="multilevel"/>
    <w:tmpl w:val="09DE0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6830B1"/>
    <w:multiLevelType w:val="multilevel"/>
    <w:tmpl w:val="739CBA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8A64F23"/>
    <w:multiLevelType w:val="multilevel"/>
    <w:tmpl w:val="7598E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2E3054"/>
    <w:multiLevelType w:val="multilevel"/>
    <w:tmpl w:val="99001A26"/>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8" w15:restartNumberingAfterBreak="0">
    <w:nsid w:val="4FB64FAA"/>
    <w:multiLevelType w:val="multilevel"/>
    <w:tmpl w:val="E8F0C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BE17552"/>
    <w:multiLevelType w:val="multilevel"/>
    <w:tmpl w:val="233CF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9C67665"/>
    <w:multiLevelType w:val="multilevel"/>
    <w:tmpl w:val="C59C6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3059157">
    <w:abstractNumId w:val="5"/>
  </w:num>
  <w:num w:numId="2" w16cid:durableId="1140460615">
    <w:abstractNumId w:val="2"/>
  </w:num>
  <w:num w:numId="3" w16cid:durableId="1546211561">
    <w:abstractNumId w:val="0"/>
  </w:num>
  <w:num w:numId="4" w16cid:durableId="1196768172">
    <w:abstractNumId w:val="6"/>
  </w:num>
  <w:num w:numId="5" w16cid:durableId="1727294305">
    <w:abstractNumId w:val="4"/>
  </w:num>
  <w:num w:numId="6" w16cid:durableId="1183208525">
    <w:abstractNumId w:val="10"/>
  </w:num>
  <w:num w:numId="7" w16cid:durableId="383219144">
    <w:abstractNumId w:val="3"/>
  </w:num>
  <w:num w:numId="8" w16cid:durableId="583803422">
    <w:abstractNumId w:val="8"/>
  </w:num>
  <w:num w:numId="9" w16cid:durableId="1853181060">
    <w:abstractNumId w:val="7"/>
  </w:num>
  <w:num w:numId="10" w16cid:durableId="138618636">
    <w:abstractNumId w:val="9"/>
  </w:num>
  <w:num w:numId="11" w16cid:durableId="11392272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069"/>
    <w:rsid w:val="000A1E75"/>
    <w:rsid w:val="003B466F"/>
    <w:rsid w:val="003B6B27"/>
    <w:rsid w:val="00561486"/>
    <w:rsid w:val="005C5069"/>
    <w:rsid w:val="005E4B2C"/>
    <w:rsid w:val="005E6590"/>
    <w:rsid w:val="00601F4A"/>
    <w:rsid w:val="006548C4"/>
    <w:rsid w:val="00662F76"/>
    <w:rsid w:val="006E78F4"/>
    <w:rsid w:val="006F530B"/>
    <w:rsid w:val="00833E8D"/>
    <w:rsid w:val="00A3535D"/>
    <w:rsid w:val="00A90A89"/>
    <w:rsid w:val="00AF5B08"/>
    <w:rsid w:val="00CD453D"/>
    <w:rsid w:val="00DE67B7"/>
    <w:rsid w:val="00DF071E"/>
    <w:rsid w:val="00E637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F81ED"/>
  <w15:docId w15:val="{3141AFAB-740A-4D93-9E2D-9083892B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95F5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595F5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595F53"/>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595F53"/>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595F53"/>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595F5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95F5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95F5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95F5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95F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595F53"/>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595F5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595F53"/>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595F53"/>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595F53"/>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595F5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95F5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95F5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95F53"/>
    <w:rPr>
      <w:rFonts w:eastAsiaTheme="majorEastAsia" w:cstheme="majorBidi"/>
      <w:color w:val="272727" w:themeColor="text1" w:themeTint="D8"/>
    </w:rPr>
  </w:style>
  <w:style w:type="character" w:customStyle="1" w:styleId="TtuloCar">
    <w:name w:val="Título Car"/>
    <w:basedOn w:val="Fuentedeprrafopredeter"/>
    <w:link w:val="Ttulo"/>
    <w:uiPriority w:val="10"/>
    <w:rsid w:val="00595F5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595F5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95F53"/>
    <w:pPr>
      <w:spacing w:before="160"/>
      <w:jc w:val="center"/>
    </w:pPr>
    <w:rPr>
      <w:i/>
      <w:iCs/>
      <w:color w:val="404040" w:themeColor="text1" w:themeTint="BF"/>
    </w:rPr>
  </w:style>
  <w:style w:type="character" w:customStyle="1" w:styleId="CitaCar">
    <w:name w:val="Cita Car"/>
    <w:basedOn w:val="Fuentedeprrafopredeter"/>
    <w:link w:val="Cita"/>
    <w:uiPriority w:val="29"/>
    <w:rsid w:val="00595F53"/>
    <w:rPr>
      <w:i/>
      <w:iCs/>
      <w:color w:val="404040" w:themeColor="text1" w:themeTint="BF"/>
    </w:rPr>
  </w:style>
  <w:style w:type="paragraph" w:styleId="Prrafodelista">
    <w:name w:val="List Paragraph"/>
    <w:basedOn w:val="Normal"/>
    <w:uiPriority w:val="34"/>
    <w:qFormat/>
    <w:rsid w:val="00595F53"/>
    <w:pPr>
      <w:ind w:left="720"/>
      <w:contextualSpacing/>
    </w:pPr>
  </w:style>
  <w:style w:type="character" w:styleId="nfasisintenso">
    <w:name w:val="Intense Emphasis"/>
    <w:basedOn w:val="Fuentedeprrafopredeter"/>
    <w:uiPriority w:val="21"/>
    <w:qFormat/>
    <w:rsid w:val="00595F53"/>
    <w:rPr>
      <w:i/>
      <w:iCs/>
      <w:color w:val="2F5496" w:themeColor="accent1" w:themeShade="BF"/>
    </w:rPr>
  </w:style>
  <w:style w:type="paragraph" w:styleId="Citadestacada">
    <w:name w:val="Intense Quote"/>
    <w:basedOn w:val="Normal"/>
    <w:next w:val="Normal"/>
    <w:link w:val="CitadestacadaCar"/>
    <w:uiPriority w:val="30"/>
    <w:qFormat/>
    <w:rsid w:val="00595F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595F53"/>
    <w:rPr>
      <w:i/>
      <w:iCs/>
      <w:color w:val="2F5496" w:themeColor="accent1" w:themeShade="BF"/>
    </w:rPr>
  </w:style>
  <w:style w:type="character" w:styleId="Referenciaintensa">
    <w:name w:val="Intense Reference"/>
    <w:basedOn w:val="Fuentedeprrafopredeter"/>
    <w:uiPriority w:val="32"/>
    <w:qFormat/>
    <w:rsid w:val="00595F53"/>
    <w:rPr>
      <w:b/>
      <w:bCs/>
      <w:smallCaps/>
      <w:color w:val="2F5496" w:themeColor="accent1" w:themeShade="BF"/>
      <w:spacing w:val="5"/>
    </w:rPr>
  </w:style>
  <w:style w:type="character" w:styleId="Hipervnculo">
    <w:name w:val="Hyperlink"/>
    <w:basedOn w:val="Fuentedeprrafopredeter"/>
    <w:uiPriority w:val="99"/>
    <w:unhideWhenUsed/>
    <w:rsid w:val="00563181"/>
    <w:rPr>
      <w:color w:val="0563C1" w:themeColor="hyperlink"/>
      <w:u w:val="single"/>
    </w:rPr>
  </w:style>
  <w:style w:type="character" w:styleId="Mencinsinresolver">
    <w:name w:val="Unresolved Mention"/>
    <w:basedOn w:val="Fuentedeprrafopredeter"/>
    <w:uiPriority w:val="99"/>
    <w:semiHidden/>
    <w:unhideWhenUsed/>
    <w:rsid w:val="00563181"/>
    <w:rPr>
      <w:color w:val="605E5C"/>
      <w:shd w:val="clear" w:color="auto" w:fill="E1DFDD"/>
    </w:rPr>
  </w:style>
  <w:style w:type="character" w:styleId="Refdecomentario">
    <w:name w:val="annotation reference"/>
    <w:basedOn w:val="Fuentedeprrafopredeter"/>
    <w:uiPriority w:val="99"/>
    <w:semiHidden/>
    <w:unhideWhenUsed/>
    <w:rsid w:val="007D6ADD"/>
    <w:rPr>
      <w:sz w:val="16"/>
      <w:szCs w:val="16"/>
    </w:rPr>
  </w:style>
  <w:style w:type="paragraph" w:styleId="Textocomentario">
    <w:name w:val="annotation text"/>
    <w:basedOn w:val="Normal"/>
    <w:link w:val="TextocomentarioCar"/>
    <w:uiPriority w:val="99"/>
    <w:unhideWhenUsed/>
    <w:rsid w:val="007D6ADD"/>
    <w:pPr>
      <w:spacing w:line="240" w:lineRule="auto"/>
    </w:pPr>
    <w:rPr>
      <w:sz w:val="20"/>
      <w:szCs w:val="20"/>
    </w:rPr>
  </w:style>
  <w:style w:type="character" w:customStyle="1" w:styleId="TextocomentarioCar">
    <w:name w:val="Texto comentario Car"/>
    <w:basedOn w:val="Fuentedeprrafopredeter"/>
    <w:link w:val="Textocomentario"/>
    <w:uiPriority w:val="99"/>
    <w:rsid w:val="007D6ADD"/>
    <w:rPr>
      <w:sz w:val="20"/>
      <w:szCs w:val="20"/>
    </w:rPr>
  </w:style>
  <w:style w:type="paragraph" w:styleId="Asuntodelcomentario">
    <w:name w:val="annotation subject"/>
    <w:basedOn w:val="Textocomentario"/>
    <w:next w:val="Textocomentario"/>
    <w:link w:val="AsuntodelcomentarioCar"/>
    <w:uiPriority w:val="99"/>
    <w:semiHidden/>
    <w:unhideWhenUsed/>
    <w:rsid w:val="007D6ADD"/>
    <w:rPr>
      <w:b/>
      <w:bCs/>
    </w:rPr>
  </w:style>
  <w:style w:type="character" w:customStyle="1" w:styleId="AsuntodelcomentarioCar">
    <w:name w:val="Asunto del comentario Car"/>
    <w:basedOn w:val="TextocomentarioCar"/>
    <w:link w:val="Asuntodelcomentario"/>
    <w:uiPriority w:val="99"/>
    <w:semiHidden/>
    <w:rsid w:val="007D6ADD"/>
    <w:rPr>
      <w:b/>
      <w:bCs/>
      <w:sz w:val="20"/>
      <w:szCs w:val="20"/>
    </w:rPr>
  </w:style>
  <w:style w:type="paragraph" w:customStyle="1" w:styleId="EStextocuadro">
    <w:name w:val="ES (texto cuadro)"/>
    <w:qFormat/>
    <w:rsid w:val="001E1EEF"/>
    <w:pPr>
      <w:spacing w:before="20" w:after="20" w:line="240" w:lineRule="auto"/>
    </w:pPr>
    <w:rPr>
      <w:rFonts w:ascii="Times New Roman" w:eastAsia="Cambria" w:hAnsi="Times New Roman" w:cs="Times New Roman"/>
      <w:sz w:val="20"/>
      <w:szCs w:val="24"/>
      <w:lang w:val="es-ES_tradnl" w:eastAsia="es-ES_tradnl"/>
    </w:rPr>
  </w:style>
  <w:style w:type="paragraph" w:customStyle="1" w:styleId="EScabeceracuadro">
    <w:name w:val="ES (cabecera cuadro)"/>
    <w:qFormat/>
    <w:rsid w:val="001E1EEF"/>
    <w:pPr>
      <w:spacing w:before="60" w:after="60" w:line="240" w:lineRule="auto"/>
      <w:jc w:val="center"/>
    </w:pPr>
    <w:rPr>
      <w:rFonts w:ascii="Times New Roman" w:eastAsia="Cambria" w:hAnsi="Times New Roman" w:cs="Times New Roman"/>
      <w:i/>
      <w:sz w:val="20"/>
      <w:szCs w:val="24"/>
      <w:lang w:val="es-ES_tradnl" w:eastAsia="es-ES_tradnl"/>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paragraph" w:styleId="Textonotapie">
    <w:name w:val="footnote text"/>
    <w:basedOn w:val="Normal"/>
    <w:link w:val="TextonotapieCar"/>
    <w:uiPriority w:val="99"/>
    <w:semiHidden/>
    <w:unhideWhenUsed/>
    <w:rsid w:val="00DE67B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E67B7"/>
    <w:rPr>
      <w:sz w:val="20"/>
      <w:szCs w:val="20"/>
    </w:rPr>
  </w:style>
  <w:style w:type="character" w:styleId="Refdenotaalpie">
    <w:name w:val="footnote reference"/>
    <w:basedOn w:val="Fuentedeprrafopredeter"/>
    <w:uiPriority w:val="99"/>
    <w:semiHidden/>
    <w:unhideWhenUsed/>
    <w:rsid w:val="00DE67B7"/>
    <w:rPr>
      <w:vertAlign w:val="superscript"/>
    </w:rPr>
  </w:style>
  <w:style w:type="paragraph" w:styleId="Encabezado">
    <w:name w:val="header"/>
    <w:basedOn w:val="Normal"/>
    <w:link w:val="EncabezadoCar"/>
    <w:uiPriority w:val="99"/>
    <w:unhideWhenUsed/>
    <w:rsid w:val="00DE67B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67B7"/>
  </w:style>
  <w:style w:type="paragraph" w:styleId="Piedepgina">
    <w:name w:val="footer"/>
    <w:basedOn w:val="Normal"/>
    <w:link w:val="PiedepginaCar"/>
    <w:uiPriority w:val="99"/>
    <w:unhideWhenUsed/>
    <w:rsid w:val="00DE67B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6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boe.es/eli/es/o/2007/12/27/eci385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NPQVFplX1M47U63I1hfToOxWLA==">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</go:docsCustomData>
</go:gDocsCustomXmlDataStorage>
</file>

<file path=customXml/itemProps1.xml><?xml version="1.0" encoding="utf-8"?>
<ds:datastoreItem xmlns:ds="http://schemas.openxmlformats.org/officeDocument/2006/customXml" ds:itemID="{4AE7B5AD-C72E-48E7-8C2E-F9BFF0A3622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36</Pages>
  <Words>17241</Words>
  <Characters>94826</Characters>
  <Application>Microsoft Office Word</Application>
  <DocSecurity>0</DocSecurity>
  <Lines>790</Lines>
  <Paragraphs>223</Paragraphs>
  <ScaleCrop>false</ScaleCrop>
  <Company/>
  <LinksUpToDate>false</LinksUpToDate>
  <CharactersWithSpaces>111844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MATIAS ARCE SANCHEZ</dc:creator>
  <cp:lastModifiedBy>MATIAS ARCE SANCHEZ</cp:lastModifiedBy>
  <cp:revision>18</cp:revision>
  <cp:lastPrinted>2024-10-07T18:07:00Z</cp:lastPrinted>
  <dcterms:created xsi:type="dcterms:W3CDTF">2024-10-05T19:02:00Z</dcterms:created>
  <dcterms:modified xsi:type="dcterms:W3CDTF">2024-10-07T18:12:00Z</dcterms:modified>
</cp:coreProperties>
</file>